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Ansi="Times New Roman" w:eastAsia="黑体"/>
          <w:sz w:val="24"/>
          <w:szCs w:val="24"/>
        </w:rPr>
      </w:pPr>
    </w:p>
    <w:p>
      <w:pPr>
        <w:spacing w:line="360" w:lineRule="auto"/>
        <w:rPr>
          <w:rFonts w:hAnsi="Times New Roman" w:eastAsia="黑体"/>
          <w:sz w:val="24"/>
          <w:szCs w:val="24"/>
        </w:rPr>
      </w:pPr>
    </w:p>
    <w:p>
      <w:pPr>
        <w:snapToGrid w:val="0"/>
        <w:spacing w:line="180" w:lineRule="auto"/>
        <w:rPr>
          <w:rFonts w:hAnsi="Times New Roman" w:eastAsia="黑体"/>
          <w:sz w:val="24"/>
          <w:szCs w:val="24"/>
        </w:rPr>
      </w:pPr>
    </w:p>
    <w:p>
      <w:pPr>
        <w:jc w:val="center"/>
        <w:rPr>
          <w:rFonts w:ascii="宋体" w:hAnsi="Times New Roman"/>
          <w:sz w:val="28"/>
        </w:rPr>
      </w:pPr>
      <w:r>
        <w:rPr>
          <w:rFonts w:hint="eastAsia" w:ascii="宋体" w:hAnsi="Times New Roman"/>
          <w:sz w:val="28"/>
        </w:rPr>
        <w:t xml:space="preserve">                                 榕马环评〔</w:t>
      </w:r>
      <w:r>
        <w:rPr>
          <w:rFonts w:ascii="宋体" w:hAnsi="Times New Roman"/>
          <w:sz w:val="28"/>
        </w:rPr>
        <w:t>202</w:t>
      </w:r>
      <w:r>
        <w:rPr>
          <w:rFonts w:hint="eastAsia" w:ascii="宋体" w:hAnsi="Times New Roman"/>
          <w:sz w:val="28"/>
        </w:rPr>
        <w:t>5</w:t>
      </w:r>
      <w:r>
        <w:rPr>
          <w:rFonts w:ascii="宋体" w:hAnsi="Times New Roman"/>
          <w:sz w:val="28"/>
        </w:rPr>
        <w:t>〕</w:t>
      </w:r>
      <w:bookmarkStart w:id="0" w:name="_GoBack"/>
      <w:bookmarkEnd w:id="0"/>
      <w:r>
        <w:rPr>
          <w:rFonts w:hint="eastAsia" w:ascii="宋体" w:hAnsi="Times New Roman"/>
          <w:sz w:val="28"/>
          <w:lang w:val="en-US" w:eastAsia="zh-CN"/>
        </w:rPr>
        <w:t>8</w:t>
      </w:r>
      <w:r>
        <w:rPr>
          <w:rFonts w:hint="eastAsia" w:ascii="宋体" w:hAnsi="Times New Roman"/>
          <w:sz w:val="28"/>
        </w:rPr>
        <w:t>号</w:t>
      </w:r>
    </w:p>
    <w:p>
      <w:pPr>
        <w:snapToGrid w:val="0"/>
        <w:jc w:val="center"/>
        <w:rPr>
          <w:rFonts w:ascii="宋体" w:hAnsi="Times New Roman"/>
          <w:sz w:val="32"/>
        </w:rPr>
      </w:pPr>
    </w:p>
    <w:p>
      <w:pPr>
        <w:snapToGrid w:val="0"/>
        <w:jc w:val="center"/>
        <w:rPr>
          <w:rFonts w:ascii="宋体"/>
          <w:b/>
          <w:sz w:val="44"/>
          <w:szCs w:val="44"/>
        </w:rPr>
      </w:pPr>
      <w:r>
        <w:rPr>
          <w:rFonts w:hint="eastAsia" w:ascii="宋体"/>
          <w:b/>
          <w:sz w:val="44"/>
          <w:szCs w:val="44"/>
        </w:rPr>
        <w:t>福州市生态环境局</w:t>
      </w:r>
    </w:p>
    <w:p>
      <w:pPr>
        <w:snapToGrid w:val="0"/>
        <w:jc w:val="center"/>
        <w:rPr>
          <w:rFonts w:ascii="宋体"/>
          <w:b/>
          <w:sz w:val="44"/>
          <w:szCs w:val="44"/>
        </w:rPr>
      </w:pPr>
      <w:r>
        <w:rPr>
          <w:rFonts w:hint="eastAsia" w:ascii="宋体"/>
          <w:b/>
          <w:sz w:val="44"/>
          <w:szCs w:val="44"/>
        </w:rPr>
        <w:t>关于福建中检矿产品检验检测有限公司</w:t>
      </w:r>
    </w:p>
    <w:p>
      <w:pPr>
        <w:snapToGrid w:val="0"/>
        <w:jc w:val="center"/>
        <w:rPr>
          <w:rFonts w:ascii="宋体"/>
          <w:b/>
          <w:sz w:val="44"/>
          <w:szCs w:val="44"/>
        </w:rPr>
      </w:pPr>
      <w:r>
        <w:rPr>
          <w:rFonts w:hint="eastAsia" w:ascii="宋体"/>
          <w:b/>
          <w:sz w:val="44"/>
          <w:szCs w:val="44"/>
        </w:rPr>
        <w:t>实验室项目环境影响报告表的批复</w:t>
      </w:r>
    </w:p>
    <w:p>
      <w:pPr>
        <w:snapToGrid w:val="0"/>
        <w:jc w:val="center"/>
        <w:rPr>
          <w:rFonts w:ascii="仿宋_GB2312" w:eastAsia="仿宋_GB2312"/>
          <w:b/>
          <w:spacing w:val="-14"/>
          <w:sz w:val="28"/>
        </w:rPr>
      </w:pPr>
    </w:p>
    <w:p>
      <w:pPr>
        <w:snapToGrid w:val="0"/>
        <w:spacing w:line="288" w:lineRule="auto"/>
        <w:rPr>
          <w:rFonts w:ascii="仿宋" w:hAnsi="仿宋" w:eastAsia="仿宋"/>
          <w:sz w:val="32"/>
          <w:szCs w:val="32"/>
        </w:rPr>
      </w:pPr>
      <w:r>
        <w:rPr>
          <w:rFonts w:hint="eastAsia" w:ascii="仿宋" w:hAnsi="仿宋" w:eastAsia="仿宋"/>
          <w:sz w:val="32"/>
          <w:szCs w:val="32"/>
        </w:rPr>
        <w:t>福建中检矿产品检验检测有限公司：</w:t>
      </w:r>
    </w:p>
    <w:p>
      <w:pPr>
        <w:snapToGrid w:val="0"/>
        <w:spacing w:line="288" w:lineRule="auto"/>
        <w:ind w:firstLine="645"/>
        <w:jc w:val="left"/>
        <w:rPr>
          <w:rFonts w:ascii="仿宋" w:hAnsi="仿宋" w:eastAsia="仿宋"/>
          <w:sz w:val="32"/>
          <w:szCs w:val="32"/>
        </w:rPr>
      </w:pPr>
      <w:r>
        <w:rPr>
          <w:rFonts w:hint="eastAsia" w:ascii="仿宋" w:hAnsi="仿宋" w:eastAsia="仿宋"/>
          <w:sz w:val="32"/>
          <w:szCs w:val="32"/>
        </w:rPr>
        <w:t>你公司报送的《福建中检矿产品检验检测有限公司实验室项目环境影响报告表》（以下简称《报告表》）收悉。根据《中华人民共和国环境影响评价法》第二十二条等</w:t>
      </w:r>
      <w:r>
        <w:rPr>
          <w:rFonts w:ascii="仿宋" w:hAnsi="仿宋" w:eastAsia="仿宋"/>
          <w:sz w:val="32"/>
          <w:szCs w:val="32"/>
        </w:rPr>
        <w:t>规定</w:t>
      </w:r>
      <w:r>
        <w:rPr>
          <w:rFonts w:hint="eastAsia" w:ascii="仿宋" w:hAnsi="仿宋" w:eastAsia="仿宋"/>
          <w:sz w:val="32"/>
          <w:szCs w:val="32"/>
        </w:rPr>
        <w:t>，</w:t>
      </w:r>
      <w:r>
        <w:rPr>
          <w:rFonts w:ascii="仿宋" w:hAnsi="仿宋" w:eastAsia="仿宋"/>
          <w:sz w:val="32"/>
          <w:szCs w:val="32"/>
        </w:rPr>
        <w:t>经审查</w:t>
      </w:r>
      <w:r>
        <w:rPr>
          <w:rFonts w:hint="eastAsia" w:ascii="仿宋" w:hAnsi="仿宋" w:eastAsia="仿宋"/>
          <w:sz w:val="32"/>
          <w:szCs w:val="32"/>
        </w:rPr>
        <w:t>，</w:t>
      </w:r>
      <w:r>
        <w:rPr>
          <w:rFonts w:ascii="仿宋" w:hAnsi="仿宋" w:eastAsia="仿宋"/>
          <w:sz w:val="32"/>
          <w:szCs w:val="32"/>
        </w:rPr>
        <w:t>现批复如下：</w:t>
      </w:r>
    </w:p>
    <w:p>
      <w:pPr>
        <w:adjustRightInd w:val="0"/>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一、拟建项目位于</w:t>
      </w:r>
      <w:r>
        <w:rPr>
          <w:rFonts w:hint="eastAsia" w:ascii="仿宋" w:hAnsi="仿宋" w:eastAsia="仿宋"/>
          <w:snapToGrid w:val="0"/>
          <w:sz w:val="32"/>
          <w:szCs w:val="32"/>
        </w:rPr>
        <w:t>福州市马尾区儒江东路68号华比服装园区</w:t>
      </w:r>
      <w:r>
        <w:rPr>
          <w:rFonts w:hint="eastAsia" w:ascii="仿宋" w:hAnsi="仿宋" w:eastAsia="仿宋"/>
          <w:sz w:val="32"/>
          <w:szCs w:val="32"/>
        </w:rPr>
        <w:t>厂房</w:t>
      </w:r>
      <w:r>
        <w:rPr>
          <w:rFonts w:hint="eastAsia" w:ascii="仿宋" w:hAnsi="仿宋" w:eastAsia="仿宋"/>
          <w:snapToGrid w:val="0"/>
          <w:sz w:val="32"/>
          <w:szCs w:val="32"/>
        </w:rPr>
        <w:t>2#楼、3#楼及5#楼2层</w:t>
      </w:r>
      <w:r>
        <w:rPr>
          <w:rFonts w:hint="eastAsia" w:ascii="仿宋" w:hAnsi="仿宋" w:eastAsia="仿宋"/>
          <w:sz w:val="32"/>
          <w:szCs w:val="32"/>
        </w:rPr>
        <w:t>（</w:t>
      </w:r>
      <w:r>
        <w:rPr>
          <w:rFonts w:ascii="仿宋" w:hAnsi="仿宋" w:eastAsia="仿宋"/>
          <w:sz w:val="32"/>
          <w:szCs w:val="32"/>
        </w:rPr>
        <w:t>租赁</w:t>
      </w:r>
      <w:r>
        <w:rPr>
          <w:rFonts w:hint="eastAsia" w:ascii="仿宋" w:hAnsi="仿宋" w:eastAsia="仿宋"/>
          <w:sz w:val="32"/>
          <w:szCs w:val="32"/>
        </w:rPr>
        <w:t>华比（福州开发区）服装有限公司）。建设内容及规模：主要建设矿产品实验室和燃料产品实验室，项目建成后将提供煤炭、焦炭、矿产品金属元素、土壤、农产品及水质等方面的检测服务。年检测样品总计约4.2万件（实验室配套能力）。</w:t>
      </w:r>
      <w:r>
        <w:rPr>
          <w:rFonts w:hint="eastAsia" w:ascii="仿宋" w:hAnsi="仿宋" w:eastAsia="仿宋"/>
          <w:spacing w:val="2"/>
          <w:sz w:val="32"/>
          <w:szCs w:val="32"/>
        </w:rPr>
        <w:t>根据《报告表》评价结论</w:t>
      </w:r>
      <w:r>
        <w:rPr>
          <w:rFonts w:hint="eastAsia" w:ascii="仿宋" w:hAnsi="仿宋" w:eastAsia="仿宋"/>
          <w:sz w:val="32"/>
          <w:szCs w:val="32"/>
        </w:rPr>
        <w:t>、专家评审意见</w:t>
      </w:r>
      <w:r>
        <w:rPr>
          <w:rFonts w:hint="eastAsia" w:ascii="仿宋" w:hAnsi="仿宋" w:eastAsia="仿宋"/>
          <w:spacing w:val="2"/>
          <w:sz w:val="32"/>
          <w:szCs w:val="32"/>
        </w:rPr>
        <w:t>，</w:t>
      </w:r>
      <w:r>
        <w:rPr>
          <w:rFonts w:hint="eastAsia" w:ascii="仿宋" w:hAnsi="仿宋" w:eastAsia="仿宋"/>
          <w:sz w:val="32"/>
          <w:szCs w:val="32"/>
        </w:rPr>
        <w:t>你公司在严格落实《报告表》提出的污染防治措施前提下，从环境保护角度分析项目建设可行，原则同意该项目按《报告表》所列地点、性质、规模进行建设。</w:t>
      </w:r>
    </w:p>
    <w:p>
      <w:pPr>
        <w:snapToGrid w:val="0"/>
        <w:spacing w:line="288" w:lineRule="auto"/>
        <w:ind w:firstLine="645"/>
        <w:rPr>
          <w:rFonts w:ascii="仿宋" w:hAnsi="仿宋" w:eastAsia="仿宋"/>
          <w:sz w:val="32"/>
          <w:szCs w:val="32"/>
        </w:rPr>
      </w:pPr>
      <w:r>
        <w:rPr>
          <w:rFonts w:hint="eastAsia" w:ascii="仿宋" w:hAnsi="仿宋" w:eastAsia="仿宋"/>
          <w:sz w:val="32"/>
          <w:szCs w:val="32"/>
        </w:rPr>
        <w:t>二、项目在实施过程中应落实《报告表》提出的各项污染防治措施，确保各项污染物达标排放，并重点做好以下工作：</w:t>
      </w:r>
    </w:p>
    <w:p>
      <w:pPr>
        <w:pStyle w:val="14"/>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1、应配套建设相应规模的废水处理设施，仪器和容器二次及</w:t>
      </w:r>
      <w:r>
        <w:rPr>
          <w:rFonts w:hint="eastAsia" w:ascii="仿宋" w:hAnsi="仿宋" w:eastAsia="仿宋"/>
          <w:sz w:val="32"/>
          <w:szCs w:val="32"/>
          <w:lang w:val="en-US" w:eastAsia="zh-CN"/>
        </w:rPr>
        <w:t>后续</w:t>
      </w:r>
      <w:r>
        <w:rPr>
          <w:rFonts w:hint="eastAsia" w:ascii="仿宋" w:hAnsi="仿宋" w:eastAsia="仿宋"/>
          <w:sz w:val="32"/>
          <w:szCs w:val="32"/>
        </w:rPr>
        <w:t>的清洗废水、制纯水浓水应经废水处理设施处理，</w:t>
      </w:r>
      <w:r>
        <w:rPr>
          <w:rFonts w:ascii="仿宋" w:hAnsi="仿宋" w:eastAsia="仿宋"/>
          <w:sz w:val="32"/>
          <w:szCs w:val="32"/>
        </w:rPr>
        <w:t>生活污水</w:t>
      </w:r>
      <w:r>
        <w:rPr>
          <w:rFonts w:hint="eastAsia" w:ascii="仿宋" w:hAnsi="仿宋" w:eastAsia="仿宋"/>
          <w:sz w:val="32"/>
          <w:szCs w:val="32"/>
        </w:rPr>
        <w:t>依托厂区现有排污系统</w:t>
      </w:r>
      <w:r>
        <w:rPr>
          <w:rFonts w:hint="eastAsia" w:ascii="仿宋" w:hAnsi="仿宋" w:eastAsia="仿宋" w:cs="仿宋"/>
          <w:sz w:val="32"/>
          <w:szCs w:val="32"/>
        </w:rPr>
        <w:t>处理，处理达标后的</w:t>
      </w:r>
      <w:r>
        <w:rPr>
          <w:rFonts w:hint="eastAsia" w:ascii="仿宋" w:hAnsi="仿宋" w:eastAsia="仿宋"/>
          <w:sz w:val="32"/>
          <w:szCs w:val="32"/>
        </w:rPr>
        <w:t>实验室废水、生活污水由一个排污口</w:t>
      </w:r>
      <w:r>
        <w:rPr>
          <w:rFonts w:hint="eastAsia" w:ascii="仿宋" w:hAnsi="仿宋" w:eastAsia="仿宋" w:cs="仿宋"/>
          <w:sz w:val="32"/>
          <w:szCs w:val="32"/>
        </w:rPr>
        <w:t>接入市政污水管网，纳入</w:t>
      </w:r>
      <w:r>
        <w:rPr>
          <w:rFonts w:hint="eastAsia" w:ascii="仿宋" w:hAnsi="仿宋" w:eastAsia="仿宋"/>
          <w:sz w:val="32"/>
          <w:szCs w:val="32"/>
        </w:rPr>
        <w:t>快安</w:t>
      </w:r>
      <w:r>
        <w:rPr>
          <w:rFonts w:ascii="仿宋" w:hAnsi="仿宋" w:eastAsia="仿宋"/>
          <w:sz w:val="32"/>
          <w:szCs w:val="32"/>
        </w:rPr>
        <w:t>污水处理厂集中处理</w:t>
      </w:r>
      <w:r>
        <w:rPr>
          <w:rFonts w:hint="eastAsia" w:ascii="仿宋" w:hAnsi="仿宋" w:eastAsia="仿宋"/>
          <w:sz w:val="32"/>
          <w:szCs w:val="32"/>
        </w:rPr>
        <w:t>。喷淋水应经净化处理后循环使用，不外排。产生的</w:t>
      </w:r>
      <w:r>
        <w:rPr>
          <w:rFonts w:hint="eastAsia" w:ascii="仿宋" w:hAnsi="仿宋" w:eastAsia="仿宋" w:cs="仿宋"/>
          <w:sz w:val="32"/>
          <w:szCs w:val="32"/>
        </w:rPr>
        <w:t>碱液喷淋塔废液</w:t>
      </w:r>
      <w:r>
        <w:rPr>
          <w:rFonts w:hint="eastAsia" w:ascii="仿宋" w:hAnsi="仿宋" w:eastAsia="仿宋"/>
          <w:sz w:val="32"/>
          <w:szCs w:val="32"/>
        </w:rPr>
        <w:t>作为危险废物委托有资质单位处置。</w:t>
      </w:r>
    </w:p>
    <w:p>
      <w:pPr>
        <w:pStyle w:val="20"/>
        <w:snapToGrid w:val="0"/>
        <w:spacing w:line="288" w:lineRule="auto"/>
        <w:ind w:firstLine="640"/>
        <w:rPr>
          <w:rFonts w:hint="eastAsia" w:ascii="仿宋" w:hAnsi="仿宋" w:eastAsia="仿宋" w:cs="仿宋"/>
          <w:sz w:val="32"/>
          <w:szCs w:val="32"/>
        </w:rPr>
      </w:pPr>
      <w:r>
        <w:rPr>
          <w:rFonts w:hint="eastAsia" w:ascii="仿宋" w:hAnsi="仿宋" w:eastAsia="仿宋"/>
          <w:sz w:val="32"/>
          <w:szCs w:val="32"/>
        </w:rPr>
        <w:t>2、应</w:t>
      </w:r>
      <w:r>
        <w:rPr>
          <w:rFonts w:hint="eastAsia" w:ascii="仿宋" w:hAnsi="仿宋" w:eastAsia="仿宋" w:cs="仿宋"/>
          <w:sz w:val="32"/>
          <w:szCs w:val="32"/>
        </w:rPr>
        <w:t>独立分区设置密闭实验室，2#楼火试金实验室废气应经收集净化处理后由1根15米排气筒排放；2#楼矿产品实验室废气应分别经收集净化处理后由1根15米排气筒排放；3#燃料实验室废气应经收集净化处理后由1根15米排气筒排放。</w:t>
      </w:r>
    </w:p>
    <w:p>
      <w:pPr>
        <w:pStyle w:val="20"/>
        <w:snapToGrid w:val="0"/>
        <w:spacing w:line="288" w:lineRule="auto"/>
        <w:ind w:firstLine="640"/>
        <w:rPr>
          <w:rFonts w:ascii="仿宋" w:hAnsi="仿宋" w:eastAsia="仿宋"/>
          <w:sz w:val="32"/>
          <w:szCs w:val="32"/>
        </w:rPr>
      </w:pPr>
      <w:r>
        <w:rPr>
          <w:rFonts w:hint="eastAsia" w:ascii="仿宋" w:hAnsi="仿宋" w:eastAsia="仿宋"/>
          <w:sz w:val="32"/>
          <w:szCs w:val="32"/>
        </w:rPr>
        <w:t>3、应选用低噪声设备，合理布局，并对设备采取隔声、减振等综合降噪措施，确保厂界噪声达标排放。</w:t>
      </w:r>
    </w:p>
    <w:p>
      <w:pPr>
        <w:pStyle w:val="20"/>
        <w:snapToGrid w:val="0"/>
        <w:spacing w:line="288" w:lineRule="auto"/>
        <w:ind w:firstLine="640"/>
        <w:rPr>
          <w:rFonts w:ascii="仿宋" w:hAnsi="仿宋" w:eastAsia="仿宋"/>
          <w:sz w:val="32"/>
          <w:szCs w:val="32"/>
        </w:rPr>
      </w:pPr>
      <w:r>
        <w:rPr>
          <w:rFonts w:hint="eastAsia" w:ascii="仿宋" w:hAnsi="仿宋" w:eastAsia="仿宋"/>
          <w:sz w:val="32"/>
          <w:szCs w:val="32"/>
        </w:rPr>
        <w:t>4、</w:t>
      </w:r>
      <w:r>
        <w:rPr>
          <w:rFonts w:hint="eastAsia" w:ascii="仿宋" w:hAnsi="仿宋" w:eastAsia="仿宋" w:cs="仿宋"/>
          <w:sz w:val="32"/>
          <w:szCs w:val="32"/>
        </w:rPr>
        <w:t>按规范设置一般工业固体废物分类暂存场所，产生的固体废物应分类管理，综合利用。实验废液、碱液喷淋塔废液、废活性炭、火试金含铅废物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pPr>
        <w:adjustRightInd w:val="0"/>
        <w:snapToGrid w:val="0"/>
        <w:spacing w:line="288" w:lineRule="auto"/>
        <w:ind w:firstLine="640" w:firstLineChars="200"/>
        <w:outlineLvl w:val="0"/>
        <w:rPr>
          <w:rFonts w:ascii="仿宋" w:hAnsi="仿宋" w:eastAsia="仿宋"/>
          <w:sz w:val="32"/>
          <w:szCs w:val="32"/>
        </w:rPr>
      </w:pPr>
      <w:r>
        <w:rPr>
          <w:rFonts w:hint="eastAsia" w:ascii="仿宋" w:hAnsi="仿宋" w:eastAsia="仿宋"/>
          <w:sz w:val="32"/>
          <w:szCs w:val="32"/>
        </w:rPr>
        <w:t>三、污染物排放标准及主要污染物允许排放总量：</w:t>
      </w:r>
    </w:p>
    <w:p>
      <w:pPr>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1、污水排放执行《污水综合排放标准》(GB</w:t>
      </w:r>
      <w:r>
        <w:rPr>
          <w:rFonts w:hint="eastAsia" w:ascii="仿宋" w:hAnsi="仿宋" w:eastAsia="仿宋"/>
          <w:color w:val="000000"/>
          <w:sz w:val="32"/>
          <w:szCs w:val="32"/>
        </w:rPr>
        <w:t xml:space="preserve"> </w:t>
      </w:r>
      <w:r>
        <w:rPr>
          <w:rFonts w:hint="eastAsia" w:ascii="仿宋" w:hAnsi="仿宋" w:eastAsia="仿宋"/>
          <w:sz w:val="32"/>
          <w:szCs w:val="32"/>
        </w:rPr>
        <w:t>8978-1996)表4中三级标准，氨氮参照执行《污水排入城镇下水道水质标准》（GB/T 31962-2015）表1中B级</w:t>
      </w:r>
      <w:r>
        <w:rPr>
          <w:rFonts w:ascii="仿宋" w:hAnsi="仿宋" w:eastAsia="仿宋"/>
          <w:sz w:val="32"/>
          <w:szCs w:val="32"/>
        </w:rPr>
        <w:t>限值要求。</w:t>
      </w:r>
    </w:p>
    <w:p>
      <w:pPr>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2、铅及其化合物、硫酸雾、氯化氢、氮氧化物、氟化物、</w:t>
      </w:r>
      <w:r>
        <w:rPr>
          <w:rFonts w:hint="eastAsia" w:ascii="仿宋" w:hAnsi="仿宋" w:eastAsia="仿宋" w:cs="仿宋"/>
          <w:sz w:val="32"/>
          <w:szCs w:val="32"/>
        </w:rPr>
        <w:t>非甲烷总烃</w:t>
      </w:r>
      <w:r>
        <w:rPr>
          <w:rFonts w:hint="eastAsia" w:ascii="仿宋" w:hAnsi="仿宋" w:eastAsia="仿宋"/>
          <w:sz w:val="32"/>
          <w:szCs w:val="32"/>
        </w:rPr>
        <w:t>废气有组织排放</w:t>
      </w:r>
      <w:r>
        <w:rPr>
          <w:rFonts w:hint="eastAsia" w:ascii="仿宋" w:hAnsi="仿宋" w:eastAsia="仿宋" w:cs="仿宋"/>
          <w:sz w:val="32"/>
          <w:szCs w:val="32"/>
        </w:rPr>
        <w:t>执行《大气污染物综合排放标准》（GB 16297-1996）</w:t>
      </w:r>
      <w:r>
        <w:rPr>
          <w:rFonts w:hint="eastAsia" w:ascii="仿宋" w:hAnsi="仿宋" w:eastAsia="仿宋"/>
          <w:sz w:val="32"/>
          <w:szCs w:val="32"/>
        </w:rPr>
        <w:t>表2中最高允许排放浓度及二级最高允许排放速率限值</w:t>
      </w:r>
      <w:r>
        <w:rPr>
          <w:rFonts w:hint="eastAsia" w:ascii="仿宋" w:hAnsi="仿宋" w:eastAsia="仿宋" w:cs="仿宋"/>
          <w:sz w:val="32"/>
          <w:szCs w:val="32"/>
        </w:rPr>
        <w:t>（其中排放速率标准值严格50%执行），</w:t>
      </w:r>
      <w:r>
        <w:rPr>
          <w:rFonts w:hint="eastAsia" w:ascii="仿宋" w:hAnsi="仿宋" w:eastAsia="仿宋"/>
          <w:sz w:val="32"/>
          <w:szCs w:val="32"/>
        </w:rPr>
        <w:t>厂界无组织排放执行表2中无组织排放监控浓度限值。</w:t>
      </w:r>
    </w:p>
    <w:p>
      <w:pPr>
        <w:snapToGrid w:val="0"/>
        <w:spacing w:line="288" w:lineRule="auto"/>
        <w:ind w:firstLine="640" w:firstLineChars="200"/>
        <w:rPr>
          <w:rFonts w:ascii="仿宋" w:hAnsi="仿宋" w:eastAsia="仿宋"/>
          <w:sz w:val="32"/>
          <w:szCs w:val="32"/>
        </w:rPr>
      </w:pPr>
      <w:r>
        <w:rPr>
          <w:rFonts w:hint="eastAsia" w:ascii="仿宋" w:hAnsi="仿宋" w:eastAsia="仿宋"/>
          <w:color w:val="000000"/>
          <w:sz w:val="32"/>
          <w:szCs w:val="32"/>
        </w:rPr>
        <w:t>企业厂区内 VOCs 无组织排放监控点浓度执行《挥发性有机物无组织排放控制标准》（GB 37822-2019）附录 A 中表 A.1 无组织排放限值。</w:t>
      </w:r>
    </w:p>
    <w:p>
      <w:pPr>
        <w:snapToGrid w:val="0"/>
        <w:spacing w:line="288" w:lineRule="auto"/>
        <w:ind w:firstLine="640" w:firstLineChars="200"/>
        <w:rPr>
          <w:rFonts w:hint="eastAsia" w:ascii="仿宋" w:hAnsi="仿宋" w:eastAsia="仿宋" w:cs="仿宋_GB2312"/>
          <w:sz w:val="32"/>
          <w:szCs w:val="32"/>
        </w:rPr>
      </w:pPr>
      <w:r>
        <w:rPr>
          <w:rFonts w:hint="eastAsia" w:ascii="仿宋" w:hAnsi="仿宋" w:eastAsia="仿宋"/>
          <w:sz w:val="32"/>
          <w:szCs w:val="32"/>
        </w:rPr>
        <w:t>氨废气有组织</w:t>
      </w:r>
      <w:r>
        <w:rPr>
          <w:rFonts w:ascii="仿宋" w:hAnsi="仿宋" w:eastAsia="仿宋"/>
          <w:sz w:val="32"/>
          <w:szCs w:val="32"/>
        </w:rPr>
        <w:t>排放执行《恶臭污染物排放标准》（GB</w:t>
      </w:r>
      <w:r>
        <w:rPr>
          <w:rFonts w:hint="eastAsia" w:ascii="仿宋" w:hAnsi="仿宋" w:eastAsia="仿宋"/>
          <w:sz w:val="32"/>
          <w:szCs w:val="32"/>
        </w:rPr>
        <w:t xml:space="preserve"> </w:t>
      </w:r>
      <w:r>
        <w:rPr>
          <w:rFonts w:ascii="仿宋" w:hAnsi="仿宋" w:eastAsia="仿宋"/>
          <w:sz w:val="32"/>
          <w:szCs w:val="32"/>
        </w:rPr>
        <w:t>14554-93）表 2 中的排放标准值</w:t>
      </w:r>
      <w:r>
        <w:rPr>
          <w:rFonts w:hint="eastAsia" w:ascii="仿宋" w:hAnsi="仿宋" w:eastAsia="仿宋"/>
          <w:sz w:val="32"/>
          <w:szCs w:val="32"/>
        </w:rPr>
        <w:t>，</w:t>
      </w:r>
      <w:r>
        <w:rPr>
          <w:rFonts w:hint="eastAsia" w:ascii="仿宋" w:hAnsi="仿宋" w:eastAsia="仿宋" w:cs="仿宋_GB2312"/>
          <w:sz w:val="32"/>
          <w:szCs w:val="32"/>
        </w:rPr>
        <w:t>厂界无组织排放执行表1二级新扩改建厂界标准值。</w:t>
      </w:r>
    </w:p>
    <w:p>
      <w:pPr>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3、厂界噪声排放执行《工业企业厂界环境噪声排放标准》（GB 12348-2008）表1中3类标准。</w:t>
      </w:r>
    </w:p>
    <w:p>
      <w:pPr>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4、一般固体废物</w:t>
      </w:r>
      <w:r>
        <w:rPr>
          <w:rFonts w:ascii="仿宋" w:hAnsi="仿宋" w:eastAsia="仿宋"/>
          <w:sz w:val="32"/>
          <w:szCs w:val="32"/>
        </w:rPr>
        <w:t>贮</w:t>
      </w:r>
      <w:r>
        <w:rPr>
          <w:rFonts w:hint="eastAsia" w:ascii="仿宋" w:hAnsi="仿宋" w:eastAsia="仿宋"/>
          <w:sz w:val="32"/>
          <w:szCs w:val="32"/>
        </w:rPr>
        <w:t>存执行《</w:t>
      </w:r>
      <w:r>
        <w:rPr>
          <w:rFonts w:ascii="仿宋" w:hAnsi="仿宋" w:eastAsia="仿宋"/>
          <w:sz w:val="32"/>
          <w:szCs w:val="32"/>
        </w:rPr>
        <w:t>一般工业固体废物贮存和填埋污染控制标准》（GB</w:t>
      </w:r>
      <w:r>
        <w:rPr>
          <w:rFonts w:hint="eastAsia" w:ascii="仿宋" w:hAnsi="仿宋" w:eastAsia="仿宋"/>
          <w:sz w:val="32"/>
          <w:szCs w:val="32"/>
        </w:rPr>
        <w:t xml:space="preserve"> </w:t>
      </w:r>
      <w:r>
        <w:rPr>
          <w:rFonts w:ascii="仿宋" w:hAnsi="仿宋" w:eastAsia="仿宋"/>
          <w:sz w:val="32"/>
          <w:szCs w:val="32"/>
        </w:rPr>
        <w:t>18599-2020）要求</w:t>
      </w:r>
      <w:r>
        <w:rPr>
          <w:rFonts w:hint="eastAsia" w:ascii="仿宋" w:hAnsi="仿宋" w:eastAsia="仿宋"/>
          <w:sz w:val="32"/>
          <w:szCs w:val="32"/>
        </w:rPr>
        <w:t>；危险废物贮存执行《危险废物贮存污染控制标准》（GB 18597-2023）规定。</w:t>
      </w:r>
    </w:p>
    <w:p>
      <w:pPr>
        <w:autoSpaceDE w:val="0"/>
        <w:autoSpaceDN w:val="0"/>
        <w:adjustRightInd w:val="0"/>
        <w:snapToGrid w:val="0"/>
        <w:spacing w:line="288" w:lineRule="auto"/>
        <w:ind w:firstLine="640" w:firstLineChars="200"/>
        <w:jc w:val="left"/>
        <w:rPr>
          <w:rFonts w:ascii="仿宋" w:hAnsi="仿宋" w:eastAsia="仿宋"/>
          <w:sz w:val="32"/>
          <w:szCs w:val="32"/>
        </w:rPr>
      </w:pPr>
      <w:r>
        <w:rPr>
          <w:rFonts w:hint="eastAsia" w:ascii="仿宋" w:hAnsi="仿宋" w:eastAsia="仿宋"/>
          <w:sz w:val="32"/>
          <w:szCs w:val="32"/>
        </w:rPr>
        <w:t>5、主要污染物允许排放总量：</w:t>
      </w:r>
    </w:p>
    <w:p>
      <w:pPr>
        <w:snapToGrid w:val="0"/>
        <w:spacing w:line="288" w:lineRule="auto"/>
        <w:ind w:firstLine="640" w:firstLineChars="200"/>
        <w:rPr>
          <w:rFonts w:ascii="仿宋" w:hAnsi="仿宋" w:eastAsia="仿宋" w:cs="仿宋"/>
          <w:sz w:val="32"/>
          <w:szCs w:val="32"/>
        </w:rPr>
      </w:pPr>
      <w:r>
        <w:rPr>
          <w:rFonts w:hint="eastAsia" w:ascii="仿宋" w:hAnsi="仿宋" w:eastAsia="仿宋"/>
          <w:sz w:val="32"/>
          <w:szCs w:val="32"/>
        </w:rPr>
        <w:t>项目新增氮氧化物、VOCs（以非甲烷总烃计）排放总量分别不超过0.00535吨/年、0.0051吨/年</w:t>
      </w:r>
      <w:r>
        <w:rPr>
          <w:rFonts w:hint="eastAsia" w:ascii="仿宋" w:hAnsi="仿宋" w:eastAsia="仿宋" w:cs="仿宋"/>
          <w:sz w:val="32"/>
          <w:szCs w:val="32"/>
        </w:rPr>
        <w:t>。</w:t>
      </w:r>
      <w:r>
        <w:rPr>
          <w:rFonts w:hint="eastAsia" w:ascii="仿宋" w:hAnsi="仿宋" w:eastAsia="仿宋"/>
          <w:sz w:val="32"/>
          <w:szCs w:val="32"/>
        </w:rPr>
        <w:t>在项目投产前，应按照相关规定取得所需的总量指标。今后生态环境行政主管部门将根据国家政策和实际情况对污染物排放总量进行调整核定，你公司应按照执行。</w:t>
      </w:r>
    </w:p>
    <w:p>
      <w:pPr>
        <w:snapToGrid w:val="0"/>
        <w:spacing w:line="288" w:lineRule="auto"/>
        <w:ind w:firstLine="600"/>
        <w:rPr>
          <w:rFonts w:ascii="仿宋" w:hAnsi="仿宋" w:eastAsia="仿宋" w:cs="仿宋"/>
          <w:sz w:val="32"/>
          <w:szCs w:val="32"/>
        </w:rPr>
      </w:pPr>
      <w:r>
        <w:rPr>
          <w:rFonts w:hint="eastAsia" w:ascii="仿宋" w:hAnsi="仿宋" w:eastAsia="仿宋" w:cs="仿宋"/>
          <w:sz w:val="32"/>
          <w:szCs w:val="32"/>
        </w:rPr>
        <w:t>四、项目应严格执行环保“三同时”制度。项目竣工后，应依法按规定程序开展项目竣工环境保护验收</w:t>
      </w:r>
      <w:r>
        <w:rPr>
          <w:rFonts w:hint="eastAsia" w:ascii="仿宋" w:hAnsi="仿宋" w:eastAsia="仿宋"/>
          <w:sz w:val="32"/>
          <w:szCs w:val="32"/>
        </w:rPr>
        <w:t>。项目配套的各项环境保护设施未建成或未经竣工验收合格，项目不得投运。</w:t>
      </w:r>
    </w:p>
    <w:p>
      <w:pPr>
        <w:snapToGrid w:val="0"/>
        <w:spacing w:line="288" w:lineRule="auto"/>
        <w:ind w:firstLine="600"/>
        <w:rPr>
          <w:rFonts w:ascii="仿宋" w:hAnsi="仿宋" w:eastAsia="仿宋" w:cs="仿宋"/>
          <w:sz w:val="32"/>
          <w:szCs w:val="32"/>
        </w:rPr>
      </w:pPr>
      <w:r>
        <w:rPr>
          <w:rFonts w:hint="eastAsia" w:ascii="仿宋" w:hAnsi="仿宋" w:eastAsia="仿宋" w:cs="仿宋"/>
          <w:sz w:val="32"/>
          <w:szCs w:val="32"/>
        </w:rPr>
        <w:t>五、我局委托福州市马尾生态环境保护综合执法大队开展该项目环保“三同时”监督检查、日常环保监督管理及负责督促福建中检矿产品检验检测有限公司依法开展实验室项目竣工环保验收工作。</w:t>
      </w:r>
    </w:p>
    <w:p>
      <w:pPr>
        <w:snapToGrid w:val="0"/>
        <w:spacing w:line="288" w:lineRule="auto"/>
        <w:ind w:firstLine="640" w:firstLineChars="200"/>
        <w:rPr>
          <w:rFonts w:hint="eastAsia" w:ascii="仿宋" w:hAnsi="仿宋" w:eastAsia="仿宋"/>
          <w:sz w:val="32"/>
          <w:szCs w:val="32"/>
        </w:rPr>
      </w:pPr>
    </w:p>
    <w:p>
      <w:pPr>
        <w:snapToGrid w:val="0"/>
        <w:spacing w:line="288" w:lineRule="auto"/>
        <w:ind w:firstLine="640" w:firstLineChars="200"/>
        <w:rPr>
          <w:rFonts w:ascii="仿宋" w:hAnsi="仿宋" w:eastAsia="仿宋"/>
          <w:sz w:val="32"/>
          <w:szCs w:val="32"/>
        </w:rPr>
      </w:pPr>
    </w:p>
    <w:p>
      <w:pPr>
        <w:snapToGrid w:val="0"/>
        <w:spacing w:line="288" w:lineRule="auto"/>
        <w:ind w:firstLine="6080" w:firstLineChars="1900"/>
        <w:rPr>
          <w:rFonts w:ascii="仿宋" w:hAnsi="仿宋" w:eastAsia="仿宋"/>
          <w:sz w:val="32"/>
          <w:szCs w:val="32"/>
        </w:rPr>
      </w:pPr>
      <w:r>
        <w:rPr>
          <w:rFonts w:hint="eastAsia" w:ascii="仿宋" w:hAnsi="仿宋" w:eastAsia="仿宋"/>
          <w:sz w:val="32"/>
          <w:szCs w:val="32"/>
        </w:rPr>
        <w:t>福州市生态环境局</w:t>
      </w:r>
    </w:p>
    <w:p>
      <w:pPr>
        <w:snapToGrid w:val="0"/>
        <w:spacing w:line="288" w:lineRule="auto"/>
        <w:ind w:firstLine="640" w:firstLineChars="200"/>
        <w:rPr>
          <w:rFonts w:ascii="仿宋" w:hAnsi="仿宋" w:eastAsia="仿宋"/>
          <w:sz w:val="32"/>
          <w:szCs w:val="32"/>
        </w:rPr>
      </w:pPr>
      <w:r>
        <w:rPr>
          <w:rFonts w:hint="eastAsia" w:ascii="仿宋" w:hAnsi="仿宋" w:eastAsia="仿宋"/>
          <w:sz w:val="32"/>
          <w:szCs w:val="32"/>
        </w:rPr>
        <w:t xml:space="preserve">                                   2025年3月</w:t>
      </w:r>
      <w:r>
        <w:rPr>
          <w:rFonts w:hint="eastAsia" w:ascii="仿宋" w:hAnsi="仿宋" w:eastAsia="仿宋"/>
          <w:sz w:val="32"/>
          <w:szCs w:val="32"/>
          <w:lang w:val="en-US" w:eastAsia="zh-CN"/>
        </w:rPr>
        <w:t>28</w:t>
      </w:r>
      <w:r>
        <w:rPr>
          <w:rFonts w:hint="eastAsia" w:ascii="仿宋" w:hAnsi="仿宋" w:eastAsia="仿宋"/>
          <w:sz w:val="32"/>
          <w:szCs w:val="32"/>
        </w:rPr>
        <w:t>日</w:t>
      </w:r>
    </w:p>
    <w:p>
      <w:pPr>
        <w:snapToGrid w:val="0"/>
        <w:spacing w:line="300" w:lineRule="auto"/>
        <w:rPr>
          <w:rFonts w:ascii="仿宋" w:hAnsi="仿宋" w:eastAsia="仿宋"/>
          <w:sz w:val="32"/>
          <w:szCs w:val="32"/>
        </w:rPr>
      </w:pPr>
      <w:r>
        <w:rPr>
          <w:rFonts w:hint="eastAsia" w:ascii="仿宋" w:hAnsi="仿宋" w:eastAsia="仿宋"/>
          <w:sz w:val="32"/>
          <w:szCs w:val="32"/>
        </w:rPr>
        <w:t xml:space="preserve">    （此件主动公开）</w:t>
      </w:r>
    </w:p>
    <w:tbl>
      <w:tblPr>
        <w:tblStyle w:val="31"/>
        <w:tblW w:w="9214" w:type="dxa"/>
        <w:tblInd w:w="108" w:type="dxa"/>
        <w:tblLayout w:type="fixed"/>
        <w:tblCellMar>
          <w:top w:w="0" w:type="dxa"/>
          <w:left w:w="0" w:type="dxa"/>
          <w:bottom w:w="0" w:type="dxa"/>
          <w:right w:w="0" w:type="dxa"/>
        </w:tblCellMar>
      </w:tblPr>
      <w:tblGrid>
        <w:gridCol w:w="993"/>
        <w:gridCol w:w="3885"/>
        <w:gridCol w:w="4336"/>
      </w:tblGrid>
      <w:tr>
        <w:tblPrEx>
          <w:tblLayout w:type="fixed"/>
          <w:tblCellMar>
            <w:top w:w="0" w:type="dxa"/>
            <w:left w:w="0" w:type="dxa"/>
            <w:bottom w:w="0" w:type="dxa"/>
            <w:right w:w="0" w:type="dxa"/>
          </w:tblCellMar>
        </w:tblPrEx>
        <w:trPr>
          <w:trHeight w:val="565" w:hRule="atLeast"/>
        </w:trPr>
        <w:tc>
          <w:tcPr>
            <w:tcW w:w="993" w:type="dxa"/>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right="53"/>
              <w:rPr>
                <w:rFonts w:ascii="仿宋" w:hAnsi="仿宋" w:eastAsia="仿宋"/>
                <w:spacing w:val="-10"/>
                <w:sz w:val="28"/>
              </w:rPr>
            </w:pPr>
            <w:r>
              <w:rPr>
                <w:rFonts w:hint="eastAsia" w:ascii="仿宋" w:hAnsi="仿宋" w:eastAsia="仿宋"/>
                <w:spacing w:val="-10"/>
                <w:sz w:val="28"/>
              </w:rPr>
              <w:t>抄送：</w:t>
            </w:r>
          </w:p>
        </w:tc>
        <w:tc>
          <w:tcPr>
            <w:tcW w:w="8221"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left="-130"/>
              <w:rPr>
                <w:rFonts w:ascii="仿宋" w:hAnsi="仿宋" w:eastAsia="仿宋"/>
                <w:sz w:val="25"/>
                <w:szCs w:val="25"/>
              </w:rPr>
            </w:pPr>
            <w:r>
              <w:rPr>
                <w:rFonts w:hint="eastAsia" w:ascii="仿宋" w:hAnsi="仿宋" w:eastAsia="仿宋"/>
                <w:sz w:val="25"/>
                <w:szCs w:val="25"/>
              </w:rPr>
              <w:t>福州市马尾生态环境保护综合执法大队、福建金瑞企业管理咨询有限公司</w:t>
            </w:r>
          </w:p>
        </w:tc>
      </w:tr>
      <w:tr>
        <w:tblPrEx>
          <w:tblLayout w:type="fixed"/>
          <w:tblCellMar>
            <w:top w:w="0" w:type="dxa"/>
            <w:left w:w="0" w:type="dxa"/>
            <w:bottom w:w="0" w:type="dxa"/>
            <w:right w:w="0" w:type="dxa"/>
          </w:tblCellMar>
        </w:tblPrEx>
        <w:trPr>
          <w:trHeight w:val="501" w:hRule="atLeast"/>
        </w:trPr>
        <w:tc>
          <w:tcPr>
            <w:tcW w:w="4878" w:type="dxa"/>
            <w:gridSpan w:val="2"/>
            <w:tcBorders>
              <w:top w:val="single" w:color="000000" w:sz="4" w:space="0"/>
              <w:bottom w:val="single" w:color="000000" w:sz="4" w:space="0"/>
            </w:tcBorders>
            <w:tcMar>
              <w:top w:w="0" w:type="dxa"/>
              <w:left w:w="108" w:type="dxa"/>
              <w:bottom w:w="0" w:type="dxa"/>
              <w:right w:w="108" w:type="dxa"/>
            </w:tcMar>
            <w:vAlign w:val="center"/>
          </w:tcPr>
          <w:p>
            <w:pPr>
              <w:tabs>
                <w:tab w:val="left" w:pos="3885"/>
              </w:tabs>
              <w:ind w:firstLine="840" w:firstLineChars="300"/>
              <w:rPr>
                <w:rFonts w:ascii="仿宋" w:hAnsi="仿宋" w:eastAsia="仿宋"/>
                <w:sz w:val="28"/>
              </w:rPr>
            </w:pPr>
            <w:r>
              <w:rPr>
                <w:rFonts w:hint="eastAsia" w:ascii="仿宋" w:hAnsi="仿宋" w:eastAsia="仿宋"/>
                <w:sz w:val="28"/>
              </w:rPr>
              <w:t>福州市生态环境局</w:t>
            </w:r>
          </w:p>
        </w:tc>
        <w:tc>
          <w:tcPr>
            <w:tcW w:w="4336" w:type="dxa"/>
            <w:tcBorders>
              <w:top w:val="single" w:color="000000" w:sz="4" w:space="0"/>
              <w:bottom w:val="single" w:color="000000" w:sz="4" w:space="0"/>
            </w:tcBorders>
            <w:tcMar>
              <w:top w:w="0" w:type="dxa"/>
              <w:left w:w="108" w:type="dxa"/>
              <w:bottom w:w="0" w:type="dxa"/>
              <w:right w:w="108" w:type="dxa"/>
            </w:tcMar>
            <w:vAlign w:val="center"/>
          </w:tcPr>
          <w:p>
            <w:pPr>
              <w:tabs>
                <w:tab w:val="left" w:pos="3882"/>
                <w:tab w:val="left" w:pos="3987"/>
              </w:tabs>
              <w:ind w:right="311" w:firstLine="840" w:firstLineChars="300"/>
              <w:rPr>
                <w:rFonts w:ascii="仿宋" w:hAnsi="仿宋" w:eastAsia="仿宋"/>
                <w:sz w:val="28"/>
              </w:rPr>
            </w:pPr>
            <w:r>
              <w:rPr>
                <w:rFonts w:hint="eastAsia" w:ascii="仿宋" w:hAnsi="仿宋" w:eastAsia="仿宋"/>
                <w:sz w:val="28"/>
              </w:rPr>
              <w:t>2025年3月</w:t>
            </w:r>
            <w:r>
              <w:rPr>
                <w:rFonts w:hint="eastAsia" w:ascii="仿宋" w:hAnsi="仿宋" w:eastAsia="仿宋"/>
                <w:sz w:val="28"/>
                <w:lang w:val="en-US" w:eastAsia="zh-CN"/>
              </w:rPr>
              <w:t>28</w:t>
            </w:r>
            <w:r>
              <w:rPr>
                <w:rFonts w:hint="eastAsia" w:ascii="仿宋" w:hAnsi="仿宋" w:eastAsia="仿宋"/>
                <w:sz w:val="28"/>
              </w:rPr>
              <w:t>日印发</w:t>
            </w:r>
          </w:p>
        </w:tc>
      </w:tr>
    </w:tbl>
    <w:p>
      <w:pPr>
        <w:snapToGrid w:val="0"/>
        <w:spacing w:line="60" w:lineRule="auto"/>
        <w:ind w:firstLine="3360"/>
        <w:rPr>
          <w:rFonts w:hAnsi="Times New Roman"/>
          <w:sz w:val="18"/>
        </w:rPr>
      </w:pPr>
    </w:p>
    <w:p>
      <w:pPr>
        <w:snapToGrid w:val="0"/>
        <w:jc w:val="center"/>
        <w:rPr>
          <w:rFonts w:hAnsi="Times New Roman"/>
          <w:sz w:val="18"/>
        </w:rPr>
      </w:pPr>
    </w:p>
    <w:sectPr>
      <w:headerReference r:id="rId3" w:type="default"/>
      <w:footerReference r:id="rId4" w:type="default"/>
      <w:pgSz w:w="11907" w:h="16840"/>
      <w:pgMar w:top="1440" w:right="1474" w:bottom="1440" w:left="1588"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Pr>
        <w:rFonts w:hAnsi="Times New Roman"/>
        <w:sz w:val="18"/>
      </w:rPr>
      <w:instrText xml:space="preserve">PAGE</w:instrText>
    </w:r>
    <w:r>
      <w:rPr>
        <w:rFonts w:hAnsi="Times New Roman"/>
        <w:sz w:val="18"/>
      </w:rPr>
      <w:fldChar w:fldCharType="separate"/>
    </w:r>
    <w:r>
      <w:rPr>
        <w:rFonts w:hAnsi="Times New Roman"/>
        <w:sz w:val="18"/>
      </w:rPr>
      <w:t>1</w:t>
    </w:r>
    <w:r>
      <w:rPr>
        <w:rFonts w:hAnsi="Times New Roman"/>
        <w:sz w:val="18"/>
      </w:rPr>
      <w:fldChar w:fldCharType="end"/>
    </w:r>
  </w:p>
  <w:p>
    <w:pPr>
      <w:tabs>
        <w:tab w:val="center" w:pos="4153"/>
        <w:tab w:val="right" w:pos="8306"/>
      </w:tabs>
      <w:snapToGrid w:val="0"/>
      <w:jc w:val="left"/>
      <w:rPr>
        <w:rFonts w:hAnsi="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Ansi="Times New Roman"/>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2"/>
  </w:compat>
  <w:docVars>
    <w:docVar w:name="commondata" w:val="eyJoZGlkIjoiMTkyOWY4ZjBiYzA3YjM3N2MwZTg1MTViZjFlZDE3NWIifQ=="/>
  </w:docVars>
  <w:rsids>
    <w:rsidRoot w:val="00891525"/>
    <w:rsid w:val="00005FF6"/>
    <w:rsid w:val="000105B0"/>
    <w:rsid w:val="00012E8C"/>
    <w:rsid w:val="00013D70"/>
    <w:rsid w:val="00015FA3"/>
    <w:rsid w:val="0002115F"/>
    <w:rsid w:val="00021405"/>
    <w:rsid w:val="00022E57"/>
    <w:rsid w:val="00023D5B"/>
    <w:rsid w:val="00023DE5"/>
    <w:rsid w:val="00024153"/>
    <w:rsid w:val="000268DE"/>
    <w:rsid w:val="00027C2B"/>
    <w:rsid w:val="000304F1"/>
    <w:rsid w:val="00030D6E"/>
    <w:rsid w:val="000310D6"/>
    <w:rsid w:val="00036858"/>
    <w:rsid w:val="00037F59"/>
    <w:rsid w:val="00044EB8"/>
    <w:rsid w:val="00044F23"/>
    <w:rsid w:val="000459ED"/>
    <w:rsid w:val="00047051"/>
    <w:rsid w:val="00050523"/>
    <w:rsid w:val="000529A1"/>
    <w:rsid w:val="00052EAD"/>
    <w:rsid w:val="00053E16"/>
    <w:rsid w:val="0005618E"/>
    <w:rsid w:val="000636D0"/>
    <w:rsid w:val="00063B40"/>
    <w:rsid w:val="0006555A"/>
    <w:rsid w:val="00066783"/>
    <w:rsid w:val="00075B19"/>
    <w:rsid w:val="00076993"/>
    <w:rsid w:val="0008078B"/>
    <w:rsid w:val="000907EE"/>
    <w:rsid w:val="00090D45"/>
    <w:rsid w:val="00091C53"/>
    <w:rsid w:val="00092BAE"/>
    <w:rsid w:val="00093E51"/>
    <w:rsid w:val="00095179"/>
    <w:rsid w:val="00097758"/>
    <w:rsid w:val="000A117B"/>
    <w:rsid w:val="000A3902"/>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4705"/>
    <w:rsid w:val="000D5709"/>
    <w:rsid w:val="000D5C15"/>
    <w:rsid w:val="000D6323"/>
    <w:rsid w:val="000E030C"/>
    <w:rsid w:val="000E05E8"/>
    <w:rsid w:val="000E346C"/>
    <w:rsid w:val="000E5B89"/>
    <w:rsid w:val="000E77CA"/>
    <w:rsid w:val="000E79B4"/>
    <w:rsid w:val="000F24BA"/>
    <w:rsid w:val="000F28C6"/>
    <w:rsid w:val="000F3A51"/>
    <w:rsid w:val="000F3E70"/>
    <w:rsid w:val="000F7948"/>
    <w:rsid w:val="00101FEE"/>
    <w:rsid w:val="00102144"/>
    <w:rsid w:val="00103932"/>
    <w:rsid w:val="00103CA6"/>
    <w:rsid w:val="00106E81"/>
    <w:rsid w:val="00107C77"/>
    <w:rsid w:val="0011320C"/>
    <w:rsid w:val="001134DF"/>
    <w:rsid w:val="00114C1D"/>
    <w:rsid w:val="00115A05"/>
    <w:rsid w:val="00116003"/>
    <w:rsid w:val="001167D8"/>
    <w:rsid w:val="00122C1C"/>
    <w:rsid w:val="00123089"/>
    <w:rsid w:val="00125D6F"/>
    <w:rsid w:val="0013149E"/>
    <w:rsid w:val="00131977"/>
    <w:rsid w:val="001349B7"/>
    <w:rsid w:val="0013558B"/>
    <w:rsid w:val="00136F11"/>
    <w:rsid w:val="00140649"/>
    <w:rsid w:val="00143766"/>
    <w:rsid w:val="00147AB3"/>
    <w:rsid w:val="0015051F"/>
    <w:rsid w:val="00151F64"/>
    <w:rsid w:val="001538B9"/>
    <w:rsid w:val="00154190"/>
    <w:rsid w:val="00155BCE"/>
    <w:rsid w:val="001604AC"/>
    <w:rsid w:val="001613F5"/>
    <w:rsid w:val="00161D70"/>
    <w:rsid w:val="0016210F"/>
    <w:rsid w:val="0016386B"/>
    <w:rsid w:val="00167E55"/>
    <w:rsid w:val="001712D7"/>
    <w:rsid w:val="00171CEE"/>
    <w:rsid w:val="001721FB"/>
    <w:rsid w:val="001741A4"/>
    <w:rsid w:val="00175EA6"/>
    <w:rsid w:val="00182177"/>
    <w:rsid w:val="00184728"/>
    <w:rsid w:val="0019295D"/>
    <w:rsid w:val="00192DBF"/>
    <w:rsid w:val="00193816"/>
    <w:rsid w:val="00193FC8"/>
    <w:rsid w:val="001945AE"/>
    <w:rsid w:val="00195401"/>
    <w:rsid w:val="00196CDC"/>
    <w:rsid w:val="00197FC7"/>
    <w:rsid w:val="001A22B5"/>
    <w:rsid w:val="001A2C31"/>
    <w:rsid w:val="001A2E05"/>
    <w:rsid w:val="001A36AF"/>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551"/>
    <w:rsid w:val="001F7726"/>
    <w:rsid w:val="00200AE8"/>
    <w:rsid w:val="00201056"/>
    <w:rsid w:val="002021AF"/>
    <w:rsid w:val="00204682"/>
    <w:rsid w:val="00204A57"/>
    <w:rsid w:val="00204C6F"/>
    <w:rsid w:val="00206998"/>
    <w:rsid w:val="00206D7D"/>
    <w:rsid w:val="0020773B"/>
    <w:rsid w:val="0021000B"/>
    <w:rsid w:val="00211516"/>
    <w:rsid w:val="00211A36"/>
    <w:rsid w:val="00214552"/>
    <w:rsid w:val="0021637D"/>
    <w:rsid w:val="00216CA5"/>
    <w:rsid w:val="00221351"/>
    <w:rsid w:val="002228A0"/>
    <w:rsid w:val="00223781"/>
    <w:rsid w:val="00230C35"/>
    <w:rsid w:val="00232042"/>
    <w:rsid w:val="002343E2"/>
    <w:rsid w:val="002359CD"/>
    <w:rsid w:val="00235D84"/>
    <w:rsid w:val="00236CD8"/>
    <w:rsid w:val="00237209"/>
    <w:rsid w:val="0024141C"/>
    <w:rsid w:val="00244478"/>
    <w:rsid w:val="0024553D"/>
    <w:rsid w:val="00246A65"/>
    <w:rsid w:val="0025132A"/>
    <w:rsid w:val="002520DF"/>
    <w:rsid w:val="00254D3F"/>
    <w:rsid w:val="002562DB"/>
    <w:rsid w:val="002601D3"/>
    <w:rsid w:val="00270E9D"/>
    <w:rsid w:val="00271213"/>
    <w:rsid w:val="00272FA9"/>
    <w:rsid w:val="0027553C"/>
    <w:rsid w:val="00276D5E"/>
    <w:rsid w:val="00276E11"/>
    <w:rsid w:val="002803CE"/>
    <w:rsid w:val="00281449"/>
    <w:rsid w:val="00282405"/>
    <w:rsid w:val="00283772"/>
    <w:rsid w:val="00284C27"/>
    <w:rsid w:val="002858A5"/>
    <w:rsid w:val="00287DAE"/>
    <w:rsid w:val="002915EA"/>
    <w:rsid w:val="0029546D"/>
    <w:rsid w:val="00297E44"/>
    <w:rsid w:val="002A31DE"/>
    <w:rsid w:val="002A34AE"/>
    <w:rsid w:val="002A466E"/>
    <w:rsid w:val="002A5A3A"/>
    <w:rsid w:val="002A704A"/>
    <w:rsid w:val="002B025E"/>
    <w:rsid w:val="002B17C7"/>
    <w:rsid w:val="002B18D9"/>
    <w:rsid w:val="002B1FB2"/>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2D5E"/>
    <w:rsid w:val="00307144"/>
    <w:rsid w:val="00312E46"/>
    <w:rsid w:val="00314159"/>
    <w:rsid w:val="003145F9"/>
    <w:rsid w:val="00315C80"/>
    <w:rsid w:val="0031603E"/>
    <w:rsid w:val="00317A64"/>
    <w:rsid w:val="00317B20"/>
    <w:rsid w:val="00326791"/>
    <w:rsid w:val="00326FAB"/>
    <w:rsid w:val="00330045"/>
    <w:rsid w:val="00331CAD"/>
    <w:rsid w:val="00332189"/>
    <w:rsid w:val="00333506"/>
    <w:rsid w:val="003337DF"/>
    <w:rsid w:val="0033430B"/>
    <w:rsid w:val="0033644D"/>
    <w:rsid w:val="00337BDA"/>
    <w:rsid w:val="00340BAC"/>
    <w:rsid w:val="00341326"/>
    <w:rsid w:val="00343D8F"/>
    <w:rsid w:val="00344679"/>
    <w:rsid w:val="00345EBE"/>
    <w:rsid w:val="003471D0"/>
    <w:rsid w:val="00347D0B"/>
    <w:rsid w:val="003505A3"/>
    <w:rsid w:val="003566FB"/>
    <w:rsid w:val="00366812"/>
    <w:rsid w:val="00367067"/>
    <w:rsid w:val="00367EB7"/>
    <w:rsid w:val="003702E9"/>
    <w:rsid w:val="00372008"/>
    <w:rsid w:val="00374055"/>
    <w:rsid w:val="00374FB5"/>
    <w:rsid w:val="00375041"/>
    <w:rsid w:val="00376DA5"/>
    <w:rsid w:val="0038040D"/>
    <w:rsid w:val="00381112"/>
    <w:rsid w:val="00382DEA"/>
    <w:rsid w:val="003834C9"/>
    <w:rsid w:val="00383D7F"/>
    <w:rsid w:val="003842E5"/>
    <w:rsid w:val="00386D00"/>
    <w:rsid w:val="00387343"/>
    <w:rsid w:val="00390979"/>
    <w:rsid w:val="00393C80"/>
    <w:rsid w:val="003940C3"/>
    <w:rsid w:val="003947B9"/>
    <w:rsid w:val="003963CB"/>
    <w:rsid w:val="00396958"/>
    <w:rsid w:val="0039738C"/>
    <w:rsid w:val="003B1090"/>
    <w:rsid w:val="003B11EA"/>
    <w:rsid w:val="003B228D"/>
    <w:rsid w:val="003B72CD"/>
    <w:rsid w:val="003C12BF"/>
    <w:rsid w:val="003C2EAC"/>
    <w:rsid w:val="003C46EE"/>
    <w:rsid w:val="003D261B"/>
    <w:rsid w:val="003D43AA"/>
    <w:rsid w:val="003D4EF5"/>
    <w:rsid w:val="003D777E"/>
    <w:rsid w:val="003D7BED"/>
    <w:rsid w:val="003E06BF"/>
    <w:rsid w:val="003E094E"/>
    <w:rsid w:val="003E2137"/>
    <w:rsid w:val="003E3DF1"/>
    <w:rsid w:val="003E4412"/>
    <w:rsid w:val="003F12D0"/>
    <w:rsid w:val="003F14AF"/>
    <w:rsid w:val="003F34CD"/>
    <w:rsid w:val="003F6E6B"/>
    <w:rsid w:val="00400872"/>
    <w:rsid w:val="00401300"/>
    <w:rsid w:val="00401DA5"/>
    <w:rsid w:val="00402D88"/>
    <w:rsid w:val="004035CF"/>
    <w:rsid w:val="00403BDF"/>
    <w:rsid w:val="004068DF"/>
    <w:rsid w:val="00411787"/>
    <w:rsid w:val="00416DD8"/>
    <w:rsid w:val="00417D4F"/>
    <w:rsid w:val="004216DF"/>
    <w:rsid w:val="00421730"/>
    <w:rsid w:val="00421A29"/>
    <w:rsid w:val="00421C91"/>
    <w:rsid w:val="0042301A"/>
    <w:rsid w:val="00426BA5"/>
    <w:rsid w:val="004272CF"/>
    <w:rsid w:val="00427687"/>
    <w:rsid w:val="00432F25"/>
    <w:rsid w:val="00434FF3"/>
    <w:rsid w:val="00436BF6"/>
    <w:rsid w:val="00437B52"/>
    <w:rsid w:val="004424FC"/>
    <w:rsid w:val="00442D5F"/>
    <w:rsid w:val="00445318"/>
    <w:rsid w:val="00445BD0"/>
    <w:rsid w:val="00447010"/>
    <w:rsid w:val="0044732C"/>
    <w:rsid w:val="004513CA"/>
    <w:rsid w:val="00452FED"/>
    <w:rsid w:val="004541F0"/>
    <w:rsid w:val="0045690D"/>
    <w:rsid w:val="0045693B"/>
    <w:rsid w:val="00457715"/>
    <w:rsid w:val="00461272"/>
    <w:rsid w:val="00461367"/>
    <w:rsid w:val="00462C39"/>
    <w:rsid w:val="00462F18"/>
    <w:rsid w:val="004654EF"/>
    <w:rsid w:val="004656B4"/>
    <w:rsid w:val="00465A18"/>
    <w:rsid w:val="004669AC"/>
    <w:rsid w:val="00471497"/>
    <w:rsid w:val="004726B1"/>
    <w:rsid w:val="004736B2"/>
    <w:rsid w:val="00473F1B"/>
    <w:rsid w:val="0047569B"/>
    <w:rsid w:val="0047690A"/>
    <w:rsid w:val="00476A46"/>
    <w:rsid w:val="004815EA"/>
    <w:rsid w:val="004820B6"/>
    <w:rsid w:val="00486951"/>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C101E"/>
    <w:rsid w:val="004C3338"/>
    <w:rsid w:val="004C44EC"/>
    <w:rsid w:val="004C45E3"/>
    <w:rsid w:val="004C49D9"/>
    <w:rsid w:val="004C62FF"/>
    <w:rsid w:val="004C64EC"/>
    <w:rsid w:val="004C772E"/>
    <w:rsid w:val="004D15A8"/>
    <w:rsid w:val="004D1CC4"/>
    <w:rsid w:val="004D44E9"/>
    <w:rsid w:val="004D4E15"/>
    <w:rsid w:val="004D599B"/>
    <w:rsid w:val="004D72E9"/>
    <w:rsid w:val="004D7E50"/>
    <w:rsid w:val="004E520B"/>
    <w:rsid w:val="004E5781"/>
    <w:rsid w:val="004E5C66"/>
    <w:rsid w:val="004E7C23"/>
    <w:rsid w:val="004E7D2F"/>
    <w:rsid w:val="004F09CB"/>
    <w:rsid w:val="004F2EDC"/>
    <w:rsid w:val="004F561B"/>
    <w:rsid w:val="004F57A6"/>
    <w:rsid w:val="004F6819"/>
    <w:rsid w:val="004F79D4"/>
    <w:rsid w:val="004F7CF3"/>
    <w:rsid w:val="0050012F"/>
    <w:rsid w:val="005017FF"/>
    <w:rsid w:val="00502286"/>
    <w:rsid w:val="00502594"/>
    <w:rsid w:val="005044B4"/>
    <w:rsid w:val="005068F6"/>
    <w:rsid w:val="00507149"/>
    <w:rsid w:val="00510D00"/>
    <w:rsid w:val="0051199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0B31"/>
    <w:rsid w:val="0056105D"/>
    <w:rsid w:val="00561681"/>
    <w:rsid w:val="005619FB"/>
    <w:rsid w:val="005624A5"/>
    <w:rsid w:val="00562638"/>
    <w:rsid w:val="00562D43"/>
    <w:rsid w:val="00562F49"/>
    <w:rsid w:val="005630EA"/>
    <w:rsid w:val="005810F8"/>
    <w:rsid w:val="00582FC2"/>
    <w:rsid w:val="00585816"/>
    <w:rsid w:val="005863CB"/>
    <w:rsid w:val="0058669F"/>
    <w:rsid w:val="0058675B"/>
    <w:rsid w:val="00586D05"/>
    <w:rsid w:val="00587BE5"/>
    <w:rsid w:val="005901A6"/>
    <w:rsid w:val="00590759"/>
    <w:rsid w:val="00590D0D"/>
    <w:rsid w:val="005919BA"/>
    <w:rsid w:val="00594758"/>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7DBE"/>
    <w:rsid w:val="005E2A77"/>
    <w:rsid w:val="005E36BC"/>
    <w:rsid w:val="005E42BA"/>
    <w:rsid w:val="005E7DAD"/>
    <w:rsid w:val="005F0578"/>
    <w:rsid w:val="005F3E28"/>
    <w:rsid w:val="005F6C9E"/>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1A87"/>
    <w:rsid w:val="006221DF"/>
    <w:rsid w:val="00623872"/>
    <w:rsid w:val="006245D6"/>
    <w:rsid w:val="00624A19"/>
    <w:rsid w:val="00624A87"/>
    <w:rsid w:val="00626657"/>
    <w:rsid w:val="006270CB"/>
    <w:rsid w:val="0063059E"/>
    <w:rsid w:val="00630688"/>
    <w:rsid w:val="00631576"/>
    <w:rsid w:val="00633D24"/>
    <w:rsid w:val="006345E0"/>
    <w:rsid w:val="00634E48"/>
    <w:rsid w:val="0063505D"/>
    <w:rsid w:val="006373DF"/>
    <w:rsid w:val="00642F5A"/>
    <w:rsid w:val="00644C83"/>
    <w:rsid w:val="00645C4F"/>
    <w:rsid w:val="0064660C"/>
    <w:rsid w:val="00647E5C"/>
    <w:rsid w:val="00647F9C"/>
    <w:rsid w:val="006529BE"/>
    <w:rsid w:val="00652A4D"/>
    <w:rsid w:val="0065402E"/>
    <w:rsid w:val="006540E0"/>
    <w:rsid w:val="00654A61"/>
    <w:rsid w:val="00655FAE"/>
    <w:rsid w:val="00656402"/>
    <w:rsid w:val="00661073"/>
    <w:rsid w:val="00661293"/>
    <w:rsid w:val="0066150F"/>
    <w:rsid w:val="00666556"/>
    <w:rsid w:val="0067132D"/>
    <w:rsid w:val="00672CA8"/>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B08BA"/>
    <w:rsid w:val="006B0A99"/>
    <w:rsid w:val="006B0D8B"/>
    <w:rsid w:val="006B2D1D"/>
    <w:rsid w:val="006B2F42"/>
    <w:rsid w:val="006B4826"/>
    <w:rsid w:val="006B596A"/>
    <w:rsid w:val="006C284C"/>
    <w:rsid w:val="006C335C"/>
    <w:rsid w:val="006C3C6A"/>
    <w:rsid w:val="006C47AA"/>
    <w:rsid w:val="006C536D"/>
    <w:rsid w:val="006C5F49"/>
    <w:rsid w:val="006C648F"/>
    <w:rsid w:val="006C682B"/>
    <w:rsid w:val="006C6EC0"/>
    <w:rsid w:val="006D4BBC"/>
    <w:rsid w:val="006D4C4A"/>
    <w:rsid w:val="006D6F38"/>
    <w:rsid w:val="006E09CB"/>
    <w:rsid w:val="006E0F4F"/>
    <w:rsid w:val="006E21C5"/>
    <w:rsid w:val="006E34BE"/>
    <w:rsid w:val="006E3807"/>
    <w:rsid w:val="006E64E2"/>
    <w:rsid w:val="006E6959"/>
    <w:rsid w:val="006F1721"/>
    <w:rsid w:val="006F1D18"/>
    <w:rsid w:val="006F239E"/>
    <w:rsid w:val="006F49E4"/>
    <w:rsid w:val="006F5C13"/>
    <w:rsid w:val="006F6F88"/>
    <w:rsid w:val="00703A50"/>
    <w:rsid w:val="0070769E"/>
    <w:rsid w:val="00712247"/>
    <w:rsid w:val="00712948"/>
    <w:rsid w:val="00712A60"/>
    <w:rsid w:val="00716A25"/>
    <w:rsid w:val="00716D08"/>
    <w:rsid w:val="00717C8A"/>
    <w:rsid w:val="00720E5E"/>
    <w:rsid w:val="007230AE"/>
    <w:rsid w:val="00723438"/>
    <w:rsid w:val="00724964"/>
    <w:rsid w:val="00730881"/>
    <w:rsid w:val="00733806"/>
    <w:rsid w:val="00735101"/>
    <w:rsid w:val="00737B69"/>
    <w:rsid w:val="0074064D"/>
    <w:rsid w:val="00743036"/>
    <w:rsid w:val="007430E8"/>
    <w:rsid w:val="00743A29"/>
    <w:rsid w:val="00743FA8"/>
    <w:rsid w:val="007458FA"/>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490E"/>
    <w:rsid w:val="00785F60"/>
    <w:rsid w:val="00787EC9"/>
    <w:rsid w:val="00792066"/>
    <w:rsid w:val="007922D2"/>
    <w:rsid w:val="007936A1"/>
    <w:rsid w:val="0079402D"/>
    <w:rsid w:val="007A02AB"/>
    <w:rsid w:val="007A0DF3"/>
    <w:rsid w:val="007A277A"/>
    <w:rsid w:val="007A2B1B"/>
    <w:rsid w:val="007A53D4"/>
    <w:rsid w:val="007A57A1"/>
    <w:rsid w:val="007A6031"/>
    <w:rsid w:val="007B1DA5"/>
    <w:rsid w:val="007B3586"/>
    <w:rsid w:val="007B7093"/>
    <w:rsid w:val="007C13D0"/>
    <w:rsid w:val="007C3447"/>
    <w:rsid w:val="007C378C"/>
    <w:rsid w:val="007C79A5"/>
    <w:rsid w:val="007C7C22"/>
    <w:rsid w:val="007D11B0"/>
    <w:rsid w:val="007D1546"/>
    <w:rsid w:val="007D295E"/>
    <w:rsid w:val="007D3363"/>
    <w:rsid w:val="007D46E8"/>
    <w:rsid w:val="007D4C0A"/>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38F8"/>
    <w:rsid w:val="008141F7"/>
    <w:rsid w:val="00815C8C"/>
    <w:rsid w:val="00815DAE"/>
    <w:rsid w:val="008234E3"/>
    <w:rsid w:val="00823B46"/>
    <w:rsid w:val="00823B9F"/>
    <w:rsid w:val="00824B20"/>
    <w:rsid w:val="00826576"/>
    <w:rsid w:val="00830B2F"/>
    <w:rsid w:val="00830D91"/>
    <w:rsid w:val="00830F53"/>
    <w:rsid w:val="00831B69"/>
    <w:rsid w:val="00831D30"/>
    <w:rsid w:val="0083247B"/>
    <w:rsid w:val="0083406F"/>
    <w:rsid w:val="00834A97"/>
    <w:rsid w:val="008407AF"/>
    <w:rsid w:val="00841427"/>
    <w:rsid w:val="00841D1F"/>
    <w:rsid w:val="0084276F"/>
    <w:rsid w:val="00843760"/>
    <w:rsid w:val="008500C5"/>
    <w:rsid w:val="0085498F"/>
    <w:rsid w:val="00854BAD"/>
    <w:rsid w:val="00855DDC"/>
    <w:rsid w:val="00873D97"/>
    <w:rsid w:val="008806DA"/>
    <w:rsid w:val="008809F0"/>
    <w:rsid w:val="0088110B"/>
    <w:rsid w:val="008835F8"/>
    <w:rsid w:val="00884E37"/>
    <w:rsid w:val="00886354"/>
    <w:rsid w:val="00890058"/>
    <w:rsid w:val="00890C7A"/>
    <w:rsid w:val="00891525"/>
    <w:rsid w:val="00892448"/>
    <w:rsid w:val="00892D2C"/>
    <w:rsid w:val="0089521F"/>
    <w:rsid w:val="008A03C1"/>
    <w:rsid w:val="008A1A88"/>
    <w:rsid w:val="008A1C73"/>
    <w:rsid w:val="008A6B38"/>
    <w:rsid w:val="008B2FF6"/>
    <w:rsid w:val="008B3F6F"/>
    <w:rsid w:val="008C26F2"/>
    <w:rsid w:val="008C2E93"/>
    <w:rsid w:val="008C3AF3"/>
    <w:rsid w:val="008C3ECA"/>
    <w:rsid w:val="008C72B0"/>
    <w:rsid w:val="008C7642"/>
    <w:rsid w:val="008C77B3"/>
    <w:rsid w:val="008C78CD"/>
    <w:rsid w:val="008D0F45"/>
    <w:rsid w:val="008D2118"/>
    <w:rsid w:val="008D5CF7"/>
    <w:rsid w:val="008D6E86"/>
    <w:rsid w:val="008D7A02"/>
    <w:rsid w:val="008E1AD7"/>
    <w:rsid w:val="008E782A"/>
    <w:rsid w:val="008E7CB4"/>
    <w:rsid w:val="008F090A"/>
    <w:rsid w:val="008F4EAD"/>
    <w:rsid w:val="00900233"/>
    <w:rsid w:val="009013EA"/>
    <w:rsid w:val="009020D5"/>
    <w:rsid w:val="0090222F"/>
    <w:rsid w:val="0090318F"/>
    <w:rsid w:val="009035CD"/>
    <w:rsid w:val="009048C3"/>
    <w:rsid w:val="009058FA"/>
    <w:rsid w:val="00905AC1"/>
    <w:rsid w:val="00907698"/>
    <w:rsid w:val="0091267A"/>
    <w:rsid w:val="009137CD"/>
    <w:rsid w:val="0091454F"/>
    <w:rsid w:val="00914911"/>
    <w:rsid w:val="00916883"/>
    <w:rsid w:val="00917DD3"/>
    <w:rsid w:val="00921EAF"/>
    <w:rsid w:val="009237EF"/>
    <w:rsid w:val="00924A3F"/>
    <w:rsid w:val="009265A5"/>
    <w:rsid w:val="00930A1F"/>
    <w:rsid w:val="009348DB"/>
    <w:rsid w:val="00937E95"/>
    <w:rsid w:val="00940614"/>
    <w:rsid w:val="009418FA"/>
    <w:rsid w:val="00945234"/>
    <w:rsid w:val="0094728A"/>
    <w:rsid w:val="00947AC9"/>
    <w:rsid w:val="009519BB"/>
    <w:rsid w:val="00954B0D"/>
    <w:rsid w:val="00955398"/>
    <w:rsid w:val="00955B12"/>
    <w:rsid w:val="009600B3"/>
    <w:rsid w:val="009612BA"/>
    <w:rsid w:val="00963082"/>
    <w:rsid w:val="00965199"/>
    <w:rsid w:val="00965401"/>
    <w:rsid w:val="00970FAE"/>
    <w:rsid w:val="0097448B"/>
    <w:rsid w:val="009749DA"/>
    <w:rsid w:val="009772CF"/>
    <w:rsid w:val="00977364"/>
    <w:rsid w:val="00977DD0"/>
    <w:rsid w:val="00980DF0"/>
    <w:rsid w:val="00980EA4"/>
    <w:rsid w:val="00982885"/>
    <w:rsid w:val="009843F4"/>
    <w:rsid w:val="00986C20"/>
    <w:rsid w:val="0098713D"/>
    <w:rsid w:val="00992629"/>
    <w:rsid w:val="00994104"/>
    <w:rsid w:val="00996518"/>
    <w:rsid w:val="00996540"/>
    <w:rsid w:val="009972B2"/>
    <w:rsid w:val="009A0554"/>
    <w:rsid w:val="009A0A8E"/>
    <w:rsid w:val="009A41E9"/>
    <w:rsid w:val="009A5BE4"/>
    <w:rsid w:val="009A5C75"/>
    <w:rsid w:val="009A6257"/>
    <w:rsid w:val="009B153C"/>
    <w:rsid w:val="009B1AA4"/>
    <w:rsid w:val="009B1CC6"/>
    <w:rsid w:val="009B4C81"/>
    <w:rsid w:val="009B4CF7"/>
    <w:rsid w:val="009B69F8"/>
    <w:rsid w:val="009B6AE9"/>
    <w:rsid w:val="009B704B"/>
    <w:rsid w:val="009C0508"/>
    <w:rsid w:val="009C1A90"/>
    <w:rsid w:val="009C6418"/>
    <w:rsid w:val="009C7CB4"/>
    <w:rsid w:val="009D0644"/>
    <w:rsid w:val="009D172F"/>
    <w:rsid w:val="009D1C02"/>
    <w:rsid w:val="009D2067"/>
    <w:rsid w:val="009D234A"/>
    <w:rsid w:val="009D6526"/>
    <w:rsid w:val="009E5BF3"/>
    <w:rsid w:val="009E779D"/>
    <w:rsid w:val="009F16B5"/>
    <w:rsid w:val="009F2185"/>
    <w:rsid w:val="009F436E"/>
    <w:rsid w:val="009F4514"/>
    <w:rsid w:val="009F5C8D"/>
    <w:rsid w:val="009F6653"/>
    <w:rsid w:val="009F6881"/>
    <w:rsid w:val="009F7081"/>
    <w:rsid w:val="00A0202F"/>
    <w:rsid w:val="00A045A0"/>
    <w:rsid w:val="00A058E1"/>
    <w:rsid w:val="00A06F1A"/>
    <w:rsid w:val="00A104D5"/>
    <w:rsid w:val="00A1086F"/>
    <w:rsid w:val="00A1411F"/>
    <w:rsid w:val="00A1423E"/>
    <w:rsid w:val="00A14F1F"/>
    <w:rsid w:val="00A15B50"/>
    <w:rsid w:val="00A15F24"/>
    <w:rsid w:val="00A1697C"/>
    <w:rsid w:val="00A179D5"/>
    <w:rsid w:val="00A21124"/>
    <w:rsid w:val="00A234AA"/>
    <w:rsid w:val="00A36499"/>
    <w:rsid w:val="00A418D5"/>
    <w:rsid w:val="00A434A3"/>
    <w:rsid w:val="00A43B3D"/>
    <w:rsid w:val="00A4420C"/>
    <w:rsid w:val="00A476F4"/>
    <w:rsid w:val="00A52050"/>
    <w:rsid w:val="00A6033E"/>
    <w:rsid w:val="00A61AFA"/>
    <w:rsid w:val="00A61D3C"/>
    <w:rsid w:val="00A63AE0"/>
    <w:rsid w:val="00A64B23"/>
    <w:rsid w:val="00A659BC"/>
    <w:rsid w:val="00A6723B"/>
    <w:rsid w:val="00A740E2"/>
    <w:rsid w:val="00A74FA5"/>
    <w:rsid w:val="00A76CEC"/>
    <w:rsid w:val="00A77127"/>
    <w:rsid w:val="00A818C2"/>
    <w:rsid w:val="00A848AA"/>
    <w:rsid w:val="00A9351F"/>
    <w:rsid w:val="00A96267"/>
    <w:rsid w:val="00A97C09"/>
    <w:rsid w:val="00AA1703"/>
    <w:rsid w:val="00AA3B5A"/>
    <w:rsid w:val="00AA41BB"/>
    <w:rsid w:val="00AA4FA0"/>
    <w:rsid w:val="00AB0D98"/>
    <w:rsid w:val="00AB3234"/>
    <w:rsid w:val="00AB3E1F"/>
    <w:rsid w:val="00AB4490"/>
    <w:rsid w:val="00AB4FDB"/>
    <w:rsid w:val="00AB54BE"/>
    <w:rsid w:val="00AB5FC5"/>
    <w:rsid w:val="00AC06DB"/>
    <w:rsid w:val="00AC11DC"/>
    <w:rsid w:val="00AC5862"/>
    <w:rsid w:val="00AC5BBE"/>
    <w:rsid w:val="00AD5174"/>
    <w:rsid w:val="00AD52E5"/>
    <w:rsid w:val="00AD5DE5"/>
    <w:rsid w:val="00AD6D79"/>
    <w:rsid w:val="00AD7DC0"/>
    <w:rsid w:val="00AE0124"/>
    <w:rsid w:val="00AE0262"/>
    <w:rsid w:val="00AE0768"/>
    <w:rsid w:val="00AE10FD"/>
    <w:rsid w:val="00AE194A"/>
    <w:rsid w:val="00AE1B66"/>
    <w:rsid w:val="00AE31ED"/>
    <w:rsid w:val="00AE742F"/>
    <w:rsid w:val="00AF0228"/>
    <w:rsid w:val="00AF062C"/>
    <w:rsid w:val="00AF58F0"/>
    <w:rsid w:val="00AF7609"/>
    <w:rsid w:val="00B02B69"/>
    <w:rsid w:val="00B03D5E"/>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303D"/>
    <w:rsid w:val="00B44C06"/>
    <w:rsid w:val="00B44EEF"/>
    <w:rsid w:val="00B469B0"/>
    <w:rsid w:val="00B515E1"/>
    <w:rsid w:val="00B52FB8"/>
    <w:rsid w:val="00B56F4F"/>
    <w:rsid w:val="00B573C3"/>
    <w:rsid w:val="00B575A4"/>
    <w:rsid w:val="00B57A5A"/>
    <w:rsid w:val="00B608B2"/>
    <w:rsid w:val="00B60EA4"/>
    <w:rsid w:val="00B6251E"/>
    <w:rsid w:val="00B62973"/>
    <w:rsid w:val="00B6330D"/>
    <w:rsid w:val="00B657BD"/>
    <w:rsid w:val="00B66ACE"/>
    <w:rsid w:val="00B67F62"/>
    <w:rsid w:val="00B71A1E"/>
    <w:rsid w:val="00B74415"/>
    <w:rsid w:val="00B778E9"/>
    <w:rsid w:val="00B8066C"/>
    <w:rsid w:val="00B840DC"/>
    <w:rsid w:val="00B84CD4"/>
    <w:rsid w:val="00B853F3"/>
    <w:rsid w:val="00B85A49"/>
    <w:rsid w:val="00B85BE2"/>
    <w:rsid w:val="00B959DA"/>
    <w:rsid w:val="00B95F21"/>
    <w:rsid w:val="00B96A80"/>
    <w:rsid w:val="00BA18E6"/>
    <w:rsid w:val="00BA2718"/>
    <w:rsid w:val="00BA3EB4"/>
    <w:rsid w:val="00BA4E2D"/>
    <w:rsid w:val="00BA5510"/>
    <w:rsid w:val="00BA6C93"/>
    <w:rsid w:val="00BA6EAA"/>
    <w:rsid w:val="00BA7945"/>
    <w:rsid w:val="00BB4F72"/>
    <w:rsid w:val="00BB51C6"/>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BF6EAD"/>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519"/>
    <w:rsid w:val="00C210BC"/>
    <w:rsid w:val="00C21511"/>
    <w:rsid w:val="00C22E13"/>
    <w:rsid w:val="00C2385F"/>
    <w:rsid w:val="00C248AE"/>
    <w:rsid w:val="00C266AB"/>
    <w:rsid w:val="00C27085"/>
    <w:rsid w:val="00C271D5"/>
    <w:rsid w:val="00C27FD9"/>
    <w:rsid w:val="00C317D5"/>
    <w:rsid w:val="00C31DD6"/>
    <w:rsid w:val="00C3221E"/>
    <w:rsid w:val="00C343F1"/>
    <w:rsid w:val="00C34565"/>
    <w:rsid w:val="00C34B0B"/>
    <w:rsid w:val="00C35FDC"/>
    <w:rsid w:val="00C361B5"/>
    <w:rsid w:val="00C37045"/>
    <w:rsid w:val="00C37AAB"/>
    <w:rsid w:val="00C43CE4"/>
    <w:rsid w:val="00C4599D"/>
    <w:rsid w:val="00C46897"/>
    <w:rsid w:val="00C56235"/>
    <w:rsid w:val="00C5784B"/>
    <w:rsid w:val="00C57E60"/>
    <w:rsid w:val="00C60D6D"/>
    <w:rsid w:val="00C63BBB"/>
    <w:rsid w:val="00C6434C"/>
    <w:rsid w:val="00C656E6"/>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4A2"/>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70C6"/>
    <w:rsid w:val="00D054D9"/>
    <w:rsid w:val="00D0766E"/>
    <w:rsid w:val="00D105F9"/>
    <w:rsid w:val="00D10B9F"/>
    <w:rsid w:val="00D115A3"/>
    <w:rsid w:val="00D145F3"/>
    <w:rsid w:val="00D17D0B"/>
    <w:rsid w:val="00D22F59"/>
    <w:rsid w:val="00D22FBC"/>
    <w:rsid w:val="00D23B7F"/>
    <w:rsid w:val="00D24C26"/>
    <w:rsid w:val="00D25159"/>
    <w:rsid w:val="00D2519A"/>
    <w:rsid w:val="00D27FF3"/>
    <w:rsid w:val="00D30751"/>
    <w:rsid w:val="00D3148A"/>
    <w:rsid w:val="00D31495"/>
    <w:rsid w:val="00D3187A"/>
    <w:rsid w:val="00D33A3E"/>
    <w:rsid w:val="00D343CE"/>
    <w:rsid w:val="00D466E9"/>
    <w:rsid w:val="00D4754E"/>
    <w:rsid w:val="00D50723"/>
    <w:rsid w:val="00D5144A"/>
    <w:rsid w:val="00D51DC9"/>
    <w:rsid w:val="00D5303A"/>
    <w:rsid w:val="00D5507A"/>
    <w:rsid w:val="00D55B28"/>
    <w:rsid w:val="00D56EB0"/>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6F75"/>
    <w:rsid w:val="00DB14C1"/>
    <w:rsid w:val="00DB2271"/>
    <w:rsid w:val="00DB2407"/>
    <w:rsid w:val="00DB2A30"/>
    <w:rsid w:val="00DB3560"/>
    <w:rsid w:val="00DC1805"/>
    <w:rsid w:val="00DC1EE9"/>
    <w:rsid w:val="00DC449C"/>
    <w:rsid w:val="00DC6179"/>
    <w:rsid w:val="00DC621A"/>
    <w:rsid w:val="00DD07B5"/>
    <w:rsid w:val="00DD0B09"/>
    <w:rsid w:val="00DD1A64"/>
    <w:rsid w:val="00DD2716"/>
    <w:rsid w:val="00DD28D4"/>
    <w:rsid w:val="00DD3AA6"/>
    <w:rsid w:val="00DD7B32"/>
    <w:rsid w:val="00DE340F"/>
    <w:rsid w:val="00DE4991"/>
    <w:rsid w:val="00DE6019"/>
    <w:rsid w:val="00DE6ADD"/>
    <w:rsid w:val="00DE6D31"/>
    <w:rsid w:val="00DF5A55"/>
    <w:rsid w:val="00DF5CAD"/>
    <w:rsid w:val="00DF6943"/>
    <w:rsid w:val="00DF737B"/>
    <w:rsid w:val="00E01219"/>
    <w:rsid w:val="00E047FF"/>
    <w:rsid w:val="00E04D83"/>
    <w:rsid w:val="00E12304"/>
    <w:rsid w:val="00E149DA"/>
    <w:rsid w:val="00E15F6D"/>
    <w:rsid w:val="00E2407A"/>
    <w:rsid w:val="00E26A53"/>
    <w:rsid w:val="00E32933"/>
    <w:rsid w:val="00E32E22"/>
    <w:rsid w:val="00E3361A"/>
    <w:rsid w:val="00E33964"/>
    <w:rsid w:val="00E4009A"/>
    <w:rsid w:val="00E40E8F"/>
    <w:rsid w:val="00E4128C"/>
    <w:rsid w:val="00E41564"/>
    <w:rsid w:val="00E42490"/>
    <w:rsid w:val="00E43DEC"/>
    <w:rsid w:val="00E445AF"/>
    <w:rsid w:val="00E4515B"/>
    <w:rsid w:val="00E451BD"/>
    <w:rsid w:val="00E45489"/>
    <w:rsid w:val="00E46B4A"/>
    <w:rsid w:val="00E50A33"/>
    <w:rsid w:val="00E513B1"/>
    <w:rsid w:val="00E515A6"/>
    <w:rsid w:val="00E51F94"/>
    <w:rsid w:val="00E536FD"/>
    <w:rsid w:val="00E53815"/>
    <w:rsid w:val="00E53FFD"/>
    <w:rsid w:val="00E543A6"/>
    <w:rsid w:val="00E549E0"/>
    <w:rsid w:val="00E54ABF"/>
    <w:rsid w:val="00E54C70"/>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683"/>
    <w:rsid w:val="00EA68F4"/>
    <w:rsid w:val="00EA74A1"/>
    <w:rsid w:val="00EB2B35"/>
    <w:rsid w:val="00EB3AF3"/>
    <w:rsid w:val="00EC22CC"/>
    <w:rsid w:val="00EC2D1A"/>
    <w:rsid w:val="00EC5E0C"/>
    <w:rsid w:val="00EC73C2"/>
    <w:rsid w:val="00EC7E5B"/>
    <w:rsid w:val="00ED0047"/>
    <w:rsid w:val="00ED1CC2"/>
    <w:rsid w:val="00ED41DC"/>
    <w:rsid w:val="00ED6B00"/>
    <w:rsid w:val="00ED6D8C"/>
    <w:rsid w:val="00ED7A7C"/>
    <w:rsid w:val="00EE11ED"/>
    <w:rsid w:val="00EE11FA"/>
    <w:rsid w:val="00EE3159"/>
    <w:rsid w:val="00EE5363"/>
    <w:rsid w:val="00EF2741"/>
    <w:rsid w:val="00EF5246"/>
    <w:rsid w:val="00EF63E7"/>
    <w:rsid w:val="00EF6708"/>
    <w:rsid w:val="00EF686E"/>
    <w:rsid w:val="00EF6CFE"/>
    <w:rsid w:val="00F00043"/>
    <w:rsid w:val="00F024CF"/>
    <w:rsid w:val="00F02A48"/>
    <w:rsid w:val="00F05C88"/>
    <w:rsid w:val="00F0627A"/>
    <w:rsid w:val="00F06CEB"/>
    <w:rsid w:val="00F100B9"/>
    <w:rsid w:val="00F140BE"/>
    <w:rsid w:val="00F17569"/>
    <w:rsid w:val="00F1783A"/>
    <w:rsid w:val="00F2173F"/>
    <w:rsid w:val="00F22C88"/>
    <w:rsid w:val="00F23235"/>
    <w:rsid w:val="00F2634A"/>
    <w:rsid w:val="00F32BA1"/>
    <w:rsid w:val="00F3368D"/>
    <w:rsid w:val="00F33A38"/>
    <w:rsid w:val="00F33BBF"/>
    <w:rsid w:val="00F34AE9"/>
    <w:rsid w:val="00F358BC"/>
    <w:rsid w:val="00F3596D"/>
    <w:rsid w:val="00F3601B"/>
    <w:rsid w:val="00F41034"/>
    <w:rsid w:val="00F45C2B"/>
    <w:rsid w:val="00F51EAC"/>
    <w:rsid w:val="00F5254C"/>
    <w:rsid w:val="00F535FB"/>
    <w:rsid w:val="00F53A6B"/>
    <w:rsid w:val="00F53B86"/>
    <w:rsid w:val="00F53CBC"/>
    <w:rsid w:val="00F542A4"/>
    <w:rsid w:val="00F54620"/>
    <w:rsid w:val="00F5494D"/>
    <w:rsid w:val="00F54D0B"/>
    <w:rsid w:val="00F55093"/>
    <w:rsid w:val="00F55555"/>
    <w:rsid w:val="00F555FC"/>
    <w:rsid w:val="00F56EBF"/>
    <w:rsid w:val="00F60750"/>
    <w:rsid w:val="00F6111E"/>
    <w:rsid w:val="00F7305E"/>
    <w:rsid w:val="00F74868"/>
    <w:rsid w:val="00F75054"/>
    <w:rsid w:val="00F7635D"/>
    <w:rsid w:val="00F764FA"/>
    <w:rsid w:val="00F768E7"/>
    <w:rsid w:val="00F76E67"/>
    <w:rsid w:val="00F80382"/>
    <w:rsid w:val="00F80440"/>
    <w:rsid w:val="00F81944"/>
    <w:rsid w:val="00F84FA6"/>
    <w:rsid w:val="00F85333"/>
    <w:rsid w:val="00F856CF"/>
    <w:rsid w:val="00F912D2"/>
    <w:rsid w:val="00F93285"/>
    <w:rsid w:val="00F9463F"/>
    <w:rsid w:val="00F976CC"/>
    <w:rsid w:val="00F97AF8"/>
    <w:rsid w:val="00FA2261"/>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564B"/>
    <w:rsid w:val="00FF4C79"/>
    <w:rsid w:val="00FF5DA8"/>
    <w:rsid w:val="00FF7BEC"/>
    <w:rsid w:val="010806A2"/>
    <w:rsid w:val="01813921"/>
    <w:rsid w:val="05EA70BC"/>
    <w:rsid w:val="060A2773"/>
    <w:rsid w:val="06111368"/>
    <w:rsid w:val="075A57D6"/>
    <w:rsid w:val="07686159"/>
    <w:rsid w:val="0B2445EF"/>
    <w:rsid w:val="11B57FF1"/>
    <w:rsid w:val="11EB2398"/>
    <w:rsid w:val="18E52FFC"/>
    <w:rsid w:val="246E3ABB"/>
    <w:rsid w:val="24AC52E4"/>
    <w:rsid w:val="24B01B8D"/>
    <w:rsid w:val="26D60A01"/>
    <w:rsid w:val="27B647F2"/>
    <w:rsid w:val="2F491B24"/>
    <w:rsid w:val="30597E68"/>
    <w:rsid w:val="33DA1595"/>
    <w:rsid w:val="37390CD0"/>
    <w:rsid w:val="3B6951FC"/>
    <w:rsid w:val="3D9F136D"/>
    <w:rsid w:val="40720F1B"/>
    <w:rsid w:val="40921A19"/>
    <w:rsid w:val="418C0486"/>
    <w:rsid w:val="42093EA1"/>
    <w:rsid w:val="45AD7316"/>
    <w:rsid w:val="51321B30"/>
    <w:rsid w:val="53854B7B"/>
    <w:rsid w:val="58D16801"/>
    <w:rsid w:val="597226E8"/>
    <w:rsid w:val="666B10DB"/>
    <w:rsid w:val="668E7BC8"/>
    <w:rsid w:val="67896D90"/>
    <w:rsid w:val="6B2B4E19"/>
    <w:rsid w:val="6CE81DDE"/>
    <w:rsid w:val="6DB761CC"/>
    <w:rsid w:val="7017322C"/>
    <w:rsid w:val="71C7739B"/>
    <w:rsid w:val="72D751B1"/>
    <w:rsid w:val="741A1970"/>
    <w:rsid w:val="76706E31"/>
    <w:rsid w:val="789670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宋体" w:eastAsia="宋体" w:cs="宋体"/>
      <w:sz w:val="21"/>
      <w:lang w:val="en-US" w:eastAsia="zh-CN" w:bidi="ar-SA"/>
    </w:rPr>
  </w:style>
  <w:style w:type="paragraph" w:styleId="2">
    <w:name w:val="heading 1"/>
    <w:next w:val="1"/>
    <w:qFormat/>
    <w:uiPriority w:val="0"/>
    <w:pPr>
      <w:wordWrap w:val="0"/>
      <w:spacing w:after="160"/>
      <w:jc w:val="both"/>
      <w:outlineLvl w:val="0"/>
    </w:pPr>
    <w:rPr>
      <w:rFonts w:ascii="宋体" w:hAnsi="宋体" w:eastAsia="宋体" w:cs="宋体"/>
      <w:sz w:val="28"/>
      <w:lang w:val="en-US" w:eastAsia="zh-CN" w:bidi="ar-SA"/>
    </w:rPr>
  </w:style>
  <w:style w:type="paragraph" w:styleId="3">
    <w:name w:val="heading 2"/>
    <w:next w:val="1"/>
    <w:qFormat/>
    <w:uiPriority w:val="0"/>
    <w:pPr>
      <w:wordWrap w:val="0"/>
      <w:spacing w:after="160"/>
      <w:jc w:val="both"/>
      <w:outlineLvl w:val="1"/>
    </w:pPr>
    <w:rPr>
      <w:rFonts w:ascii="宋体" w:hAnsi="宋体" w:eastAsia="宋体" w:cs="宋体"/>
      <w:sz w:val="21"/>
      <w:lang w:val="en-US" w:eastAsia="zh-CN" w:bidi="ar-SA"/>
    </w:rPr>
  </w:style>
  <w:style w:type="paragraph" w:styleId="4">
    <w:name w:val="heading 3"/>
    <w:next w:val="1"/>
    <w:qFormat/>
    <w:uiPriority w:val="0"/>
    <w:pPr>
      <w:wordWrap w:val="0"/>
      <w:spacing w:after="160"/>
      <w:ind w:left="1400" w:hanging="400"/>
      <w:jc w:val="both"/>
      <w:outlineLvl w:val="2"/>
    </w:pPr>
    <w:rPr>
      <w:rFonts w:ascii="宋体" w:hAnsi="宋体" w:eastAsia="宋体" w:cs="宋体"/>
      <w:sz w:val="21"/>
      <w:lang w:val="en-US" w:eastAsia="zh-CN" w:bidi="ar-SA"/>
    </w:rPr>
  </w:style>
  <w:style w:type="paragraph" w:styleId="5">
    <w:name w:val="heading 4"/>
    <w:next w:val="1"/>
    <w:qFormat/>
    <w:uiPriority w:val="0"/>
    <w:pPr>
      <w:wordWrap w:val="0"/>
      <w:spacing w:after="160"/>
      <w:ind w:left="1600" w:hanging="400"/>
      <w:jc w:val="both"/>
      <w:outlineLvl w:val="3"/>
    </w:pPr>
    <w:rPr>
      <w:rFonts w:ascii="宋体" w:hAnsi="宋体" w:eastAsia="宋体" w:cs="宋体"/>
      <w:b/>
      <w:sz w:val="21"/>
      <w:lang w:val="en-US" w:eastAsia="zh-CN" w:bidi="ar-SA"/>
    </w:rPr>
  </w:style>
  <w:style w:type="paragraph" w:styleId="6">
    <w:name w:val="heading 5"/>
    <w:next w:val="1"/>
    <w:qFormat/>
    <w:uiPriority w:val="0"/>
    <w:pPr>
      <w:wordWrap w:val="0"/>
      <w:spacing w:after="160"/>
      <w:ind w:left="1800" w:hanging="400"/>
      <w:jc w:val="both"/>
      <w:outlineLvl w:val="4"/>
    </w:pPr>
    <w:rPr>
      <w:rFonts w:ascii="宋体" w:hAnsi="宋体" w:eastAsia="宋体" w:cs="宋体"/>
      <w:sz w:val="21"/>
      <w:lang w:val="en-US" w:eastAsia="zh-CN" w:bidi="ar-SA"/>
    </w:rPr>
  </w:style>
  <w:style w:type="paragraph" w:styleId="7">
    <w:name w:val="heading 6"/>
    <w:next w:val="1"/>
    <w:qFormat/>
    <w:uiPriority w:val="0"/>
    <w:pPr>
      <w:wordWrap w:val="0"/>
      <w:spacing w:after="160"/>
      <w:ind w:left="2000" w:hanging="400"/>
      <w:jc w:val="both"/>
      <w:outlineLvl w:val="5"/>
    </w:pPr>
    <w:rPr>
      <w:rFonts w:ascii="宋体" w:hAnsi="宋体" w:eastAsia="宋体" w:cs="宋体"/>
      <w:b/>
      <w:sz w:val="21"/>
      <w:lang w:val="en-US" w:eastAsia="zh-CN" w:bidi="ar-SA"/>
    </w:rPr>
  </w:style>
  <w:style w:type="paragraph" w:styleId="8">
    <w:name w:val="heading 7"/>
    <w:next w:val="1"/>
    <w:qFormat/>
    <w:uiPriority w:val="0"/>
    <w:pPr>
      <w:wordWrap w:val="0"/>
      <w:spacing w:after="160"/>
      <w:ind w:left="2200" w:hanging="400"/>
      <w:jc w:val="both"/>
      <w:outlineLvl w:val="6"/>
    </w:pPr>
    <w:rPr>
      <w:rFonts w:ascii="宋体" w:hAnsi="宋体" w:eastAsia="宋体" w:cs="宋体"/>
      <w:sz w:val="21"/>
      <w:lang w:val="en-US" w:eastAsia="zh-CN" w:bidi="ar-SA"/>
    </w:rPr>
  </w:style>
  <w:style w:type="paragraph" w:styleId="9">
    <w:name w:val="heading 8"/>
    <w:next w:val="1"/>
    <w:qFormat/>
    <w:uiPriority w:val="0"/>
    <w:pPr>
      <w:wordWrap w:val="0"/>
      <w:spacing w:after="160"/>
      <w:ind w:left="2400" w:hanging="400"/>
      <w:jc w:val="both"/>
      <w:outlineLvl w:val="7"/>
    </w:pPr>
    <w:rPr>
      <w:rFonts w:ascii="宋体" w:hAnsi="宋体" w:eastAsia="宋体" w:cs="宋体"/>
      <w:sz w:val="21"/>
      <w:lang w:val="en-US" w:eastAsia="zh-CN" w:bidi="ar-SA"/>
    </w:rPr>
  </w:style>
  <w:style w:type="paragraph" w:styleId="10">
    <w:name w:val="heading 9"/>
    <w:next w:val="1"/>
    <w:qFormat/>
    <w:uiPriority w:val="0"/>
    <w:pPr>
      <w:wordWrap w:val="0"/>
      <w:spacing w:after="160"/>
      <w:ind w:left="2600" w:hanging="400"/>
      <w:jc w:val="both"/>
      <w:outlineLvl w:val="8"/>
    </w:pPr>
    <w:rPr>
      <w:rFonts w:ascii="宋体" w:hAnsi="宋体" w:eastAsia="宋体" w:cs="宋体"/>
      <w:sz w:val="21"/>
      <w:lang w:val="en-US" w:eastAsia="zh-CN" w:bidi="ar-SA"/>
    </w:rPr>
  </w:style>
  <w:style w:type="character" w:default="1" w:styleId="32">
    <w:name w:val="Default Paragraph Font"/>
    <w:semiHidden/>
    <w:unhideWhenUsed/>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next w:val="1"/>
    <w:qFormat/>
    <w:uiPriority w:val="0"/>
    <w:pPr>
      <w:wordWrap w:val="0"/>
      <w:ind w:left="2125"/>
      <w:jc w:val="both"/>
    </w:pPr>
    <w:rPr>
      <w:rFonts w:ascii="宋体" w:hAnsi="宋体" w:eastAsia="宋体" w:cs="宋体"/>
      <w:sz w:val="21"/>
      <w:lang w:val="en-US" w:eastAsia="zh-CN" w:bidi="ar-SA"/>
    </w:rPr>
  </w:style>
  <w:style w:type="paragraph" w:styleId="12">
    <w:name w:val="Normal Indent"/>
    <w:next w:val="1"/>
    <w:qFormat/>
    <w:uiPriority w:val="0"/>
    <w:pPr>
      <w:wordWrap w:val="0"/>
      <w:ind w:left="3400"/>
      <w:jc w:val="both"/>
    </w:pPr>
    <w:rPr>
      <w:rFonts w:ascii="宋体" w:hAnsi="宋体" w:eastAsia="宋体" w:cs="宋体"/>
      <w:sz w:val="21"/>
      <w:lang w:val="en-US" w:eastAsia="zh-CN" w:bidi="ar-SA"/>
    </w:rPr>
  </w:style>
  <w:style w:type="paragraph" w:styleId="13">
    <w:name w:val="Body Text"/>
    <w:basedOn w:val="1"/>
    <w:next w:val="1"/>
    <w:qFormat/>
    <w:uiPriority w:val="0"/>
    <w:rPr>
      <w:rFonts w:ascii="宋体"/>
      <w:sz w:val="28"/>
    </w:rPr>
  </w:style>
  <w:style w:type="paragraph" w:styleId="14">
    <w:name w:val="Body Text Indent"/>
    <w:basedOn w:val="1"/>
    <w:next w:val="15"/>
    <w:link w:val="36"/>
    <w:qFormat/>
    <w:uiPriority w:val="0"/>
    <w:pPr>
      <w:spacing w:line="300" w:lineRule="auto"/>
      <w:ind w:firstLine="560"/>
    </w:pPr>
    <w:rPr>
      <w:rFonts w:ascii="宋体"/>
      <w:sz w:val="28"/>
    </w:rPr>
  </w:style>
  <w:style w:type="paragraph" w:styleId="15">
    <w:name w:val="Intense Quote"/>
    <w:next w:val="1"/>
    <w:qFormat/>
    <w:uiPriority w:val="0"/>
    <w:pPr>
      <w:wordWrap w:val="0"/>
      <w:spacing w:before="360" w:after="360"/>
      <w:ind w:left="950" w:right="950"/>
      <w:jc w:val="center"/>
    </w:pPr>
    <w:rPr>
      <w:rFonts w:ascii="宋体" w:hAnsi="宋体" w:eastAsia="宋体" w:cs="宋体"/>
      <w:i/>
      <w:sz w:val="21"/>
      <w:lang w:val="en-US" w:eastAsia="zh-CN" w:bidi="ar-SA"/>
    </w:rPr>
  </w:style>
  <w:style w:type="paragraph" w:styleId="16">
    <w:name w:val="toc 5"/>
    <w:next w:val="1"/>
    <w:qFormat/>
    <w:uiPriority w:val="0"/>
    <w:pPr>
      <w:wordWrap w:val="0"/>
      <w:ind w:left="1275"/>
      <w:jc w:val="both"/>
    </w:pPr>
    <w:rPr>
      <w:rFonts w:ascii="宋体" w:hAnsi="宋体" w:eastAsia="宋体" w:cs="宋体"/>
      <w:sz w:val="21"/>
      <w:lang w:val="en-US" w:eastAsia="zh-CN" w:bidi="ar-SA"/>
    </w:rPr>
  </w:style>
  <w:style w:type="paragraph" w:styleId="17">
    <w:name w:val="toc 3"/>
    <w:next w:val="1"/>
    <w:qFormat/>
    <w:uiPriority w:val="0"/>
    <w:pPr>
      <w:wordWrap w:val="0"/>
      <w:ind w:left="425"/>
      <w:jc w:val="both"/>
    </w:pPr>
    <w:rPr>
      <w:rFonts w:ascii="宋体" w:hAnsi="宋体" w:eastAsia="宋体" w:cs="宋体"/>
      <w:sz w:val="21"/>
      <w:lang w:val="en-US" w:eastAsia="zh-CN" w:bidi="ar-SA"/>
    </w:rPr>
  </w:style>
  <w:style w:type="paragraph" w:styleId="18">
    <w:name w:val="toc 8"/>
    <w:next w:val="1"/>
    <w:qFormat/>
    <w:uiPriority w:val="0"/>
    <w:pPr>
      <w:wordWrap w:val="0"/>
      <w:ind w:left="2550"/>
      <w:jc w:val="both"/>
    </w:pPr>
    <w:rPr>
      <w:rFonts w:ascii="宋体" w:hAnsi="宋体" w:eastAsia="宋体" w:cs="宋体"/>
      <w:sz w:val="21"/>
      <w:lang w:val="en-US" w:eastAsia="zh-CN" w:bidi="ar-SA"/>
    </w:rPr>
  </w:style>
  <w:style w:type="paragraph" w:styleId="19">
    <w:name w:val="Date"/>
    <w:basedOn w:val="1"/>
    <w:next w:val="1"/>
    <w:qFormat/>
    <w:uiPriority w:val="0"/>
    <w:pPr>
      <w:ind w:left="100"/>
    </w:pPr>
  </w:style>
  <w:style w:type="paragraph" w:styleId="20">
    <w:name w:val="Body Text Indent 2"/>
    <w:basedOn w:val="1"/>
    <w:next w:val="1"/>
    <w:qFormat/>
    <w:uiPriority w:val="0"/>
    <w:pPr>
      <w:spacing w:line="360" w:lineRule="auto"/>
      <w:ind w:firstLine="549"/>
      <w:outlineLvl w:val="0"/>
    </w:pPr>
    <w:rPr>
      <w:sz w:val="28"/>
    </w:rPr>
  </w:style>
  <w:style w:type="paragraph" w:styleId="21">
    <w:name w:val="Balloon Text"/>
    <w:basedOn w:val="1"/>
    <w:next w:val="1"/>
    <w:qFormat/>
    <w:uiPriority w:val="0"/>
    <w:rPr>
      <w:sz w:val="18"/>
    </w:rPr>
  </w:style>
  <w:style w:type="paragraph" w:styleId="22">
    <w:name w:val="footer"/>
    <w:basedOn w:val="1"/>
    <w:next w:val="23"/>
    <w:qFormat/>
    <w:uiPriority w:val="0"/>
    <w:rPr>
      <w:sz w:val="18"/>
    </w:rPr>
  </w:style>
  <w:style w:type="paragraph" w:styleId="23">
    <w:name w:val="Quote"/>
    <w:next w:val="1"/>
    <w:qFormat/>
    <w:uiPriority w:val="0"/>
    <w:pPr>
      <w:wordWrap w:val="0"/>
      <w:spacing w:before="200" w:after="160"/>
      <w:ind w:left="864" w:right="864"/>
      <w:jc w:val="center"/>
    </w:pPr>
    <w:rPr>
      <w:rFonts w:ascii="宋体" w:hAnsi="宋体" w:eastAsia="宋体" w:cs="宋体"/>
      <w:i/>
      <w:sz w:val="21"/>
      <w:lang w:val="en-US" w:eastAsia="zh-CN" w:bidi="ar-SA"/>
    </w:rPr>
  </w:style>
  <w:style w:type="paragraph" w:styleId="24">
    <w:name w:val="header"/>
    <w:basedOn w:val="1"/>
    <w:next w:val="1"/>
    <w:qFormat/>
    <w:uiPriority w:val="0"/>
    <w:pPr>
      <w:jc w:val="center"/>
    </w:pPr>
    <w:rPr>
      <w:sz w:val="18"/>
    </w:rPr>
  </w:style>
  <w:style w:type="paragraph" w:styleId="25">
    <w:name w:val="toc 4"/>
    <w:next w:val="1"/>
    <w:qFormat/>
    <w:uiPriority w:val="0"/>
    <w:pPr>
      <w:wordWrap w:val="0"/>
      <w:ind w:left="850"/>
      <w:jc w:val="both"/>
    </w:pPr>
    <w:rPr>
      <w:rFonts w:ascii="宋体" w:hAnsi="宋体" w:eastAsia="宋体" w:cs="宋体"/>
      <w:sz w:val="21"/>
      <w:lang w:val="en-US" w:eastAsia="zh-CN" w:bidi="ar-SA"/>
    </w:rPr>
  </w:style>
  <w:style w:type="paragraph" w:styleId="26">
    <w:name w:val="Subtitle"/>
    <w:next w:val="1"/>
    <w:qFormat/>
    <w:uiPriority w:val="0"/>
    <w:pPr>
      <w:wordWrap w:val="0"/>
      <w:spacing w:after="60"/>
      <w:jc w:val="center"/>
    </w:pPr>
    <w:rPr>
      <w:rFonts w:ascii="宋体" w:hAnsi="宋体" w:eastAsia="宋体" w:cs="宋体"/>
      <w:sz w:val="24"/>
      <w:lang w:val="en-US" w:eastAsia="zh-CN" w:bidi="ar-SA"/>
    </w:rPr>
  </w:style>
  <w:style w:type="paragraph" w:styleId="27">
    <w:name w:val="toc 6"/>
    <w:next w:val="1"/>
    <w:qFormat/>
    <w:uiPriority w:val="0"/>
    <w:pPr>
      <w:wordWrap w:val="0"/>
      <w:ind w:left="1700"/>
      <w:jc w:val="both"/>
    </w:pPr>
    <w:rPr>
      <w:rFonts w:ascii="宋体" w:hAnsi="宋体" w:eastAsia="宋体" w:cs="宋体"/>
      <w:sz w:val="21"/>
      <w:lang w:val="en-US" w:eastAsia="zh-CN" w:bidi="ar-SA"/>
    </w:rPr>
  </w:style>
  <w:style w:type="paragraph" w:styleId="28">
    <w:name w:val="Body Text Indent 3"/>
    <w:basedOn w:val="1"/>
    <w:next w:val="1"/>
    <w:qFormat/>
    <w:uiPriority w:val="0"/>
    <w:pPr>
      <w:spacing w:line="360" w:lineRule="auto"/>
      <w:ind w:firstLine="480"/>
      <w:outlineLvl w:val="0"/>
    </w:pPr>
    <w:rPr>
      <w:rFonts w:ascii="宋体"/>
      <w:sz w:val="24"/>
    </w:rPr>
  </w:style>
  <w:style w:type="paragraph" w:styleId="29">
    <w:name w:val="toc 2"/>
    <w:next w:val="1"/>
    <w:qFormat/>
    <w:uiPriority w:val="0"/>
    <w:pPr>
      <w:wordWrap w:val="0"/>
      <w:jc w:val="both"/>
    </w:pPr>
    <w:rPr>
      <w:rFonts w:ascii="宋体" w:hAnsi="宋体" w:eastAsia="宋体" w:cs="宋体"/>
      <w:sz w:val="21"/>
      <w:lang w:val="en-US" w:eastAsia="zh-CN" w:bidi="ar-SA"/>
    </w:rPr>
  </w:style>
  <w:style w:type="paragraph" w:styleId="30">
    <w:name w:val="toc 9"/>
    <w:next w:val="1"/>
    <w:qFormat/>
    <w:uiPriority w:val="0"/>
    <w:pPr>
      <w:wordWrap w:val="0"/>
      <w:ind w:left="2975"/>
      <w:jc w:val="both"/>
    </w:pPr>
    <w:rPr>
      <w:rFonts w:ascii="宋体" w:hAnsi="宋体" w:eastAsia="宋体" w:cs="宋体"/>
      <w:sz w:val="21"/>
      <w:lang w:val="en-US" w:eastAsia="zh-CN" w:bidi="ar-SA"/>
    </w:rPr>
  </w:style>
  <w:style w:type="character" w:styleId="33">
    <w:name w:val="Strong"/>
    <w:qFormat/>
    <w:uiPriority w:val="0"/>
    <w:rPr>
      <w:b/>
      <w:sz w:val="21"/>
    </w:rPr>
  </w:style>
  <w:style w:type="character" w:styleId="34">
    <w:name w:val="page number"/>
    <w:basedOn w:val="32"/>
    <w:qFormat/>
    <w:uiPriority w:val="0"/>
    <w:rPr>
      <w:sz w:val="20"/>
    </w:rPr>
  </w:style>
  <w:style w:type="character" w:styleId="35">
    <w:name w:val="Emphasis"/>
    <w:qFormat/>
    <w:uiPriority w:val="0"/>
    <w:rPr>
      <w:i/>
      <w:sz w:val="21"/>
    </w:rPr>
  </w:style>
  <w:style w:type="character" w:customStyle="1" w:styleId="36">
    <w:name w:val="正文文本缩进 Char"/>
    <w:basedOn w:val="32"/>
    <w:link w:val="14"/>
    <w:qFormat/>
    <w:uiPriority w:val="0"/>
    <w:rPr>
      <w:sz w:val="28"/>
    </w:rPr>
  </w:style>
  <w:style w:type="character" w:customStyle="1" w:styleId="37">
    <w:name w:val="company-content"/>
    <w:qFormat/>
    <w:uiPriority w:val="0"/>
    <w:rPr>
      <w:sz w:val="24"/>
      <w:szCs w:val="24"/>
    </w:rPr>
  </w:style>
  <w:style w:type="character" w:customStyle="1" w:styleId="38">
    <w:name w:val="明显强调1"/>
    <w:qFormat/>
    <w:uiPriority w:val="0"/>
    <w:rPr>
      <w:i/>
      <w:color w:val="auto"/>
      <w:sz w:val="21"/>
    </w:rPr>
  </w:style>
  <w:style w:type="character" w:customStyle="1" w:styleId="39">
    <w:name w:val="不明显强调1"/>
    <w:qFormat/>
    <w:uiPriority w:val="0"/>
    <w:rPr>
      <w:i/>
      <w:color w:val="auto"/>
      <w:sz w:val="21"/>
    </w:rPr>
  </w:style>
  <w:style w:type="character" w:customStyle="1" w:styleId="40">
    <w:name w:val="不明显参考1"/>
    <w:qFormat/>
    <w:uiPriority w:val="0"/>
    <w:rPr>
      <w:color w:val="auto"/>
      <w:sz w:val="21"/>
    </w:rPr>
  </w:style>
  <w:style w:type="character" w:customStyle="1" w:styleId="41">
    <w:name w:val="书籍标题1"/>
    <w:qFormat/>
    <w:uiPriority w:val="0"/>
    <w:rPr>
      <w:b/>
      <w:i/>
      <w:sz w:val="21"/>
    </w:rPr>
  </w:style>
  <w:style w:type="character" w:customStyle="1" w:styleId="42">
    <w:name w:val="明显参考1"/>
    <w:qFormat/>
    <w:uiPriority w:val="0"/>
    <w:rPr>
      <w:b/>
      <w:color w:val="auto"/>
      <w:sz w:val="21"/>
    </w:rPr>
  </w:style>
  <w:style w:type="paragraph" w:styleId="43">
    <w:name w:val="List Paragraph"/>
    <w:next w:val="1"/>
    <w:qFormat/>
    <w:uiPriority w:val="0"/>
    <w:pPr>
      <w:wordWrap w:val="0"/>
      <w:ind w:left="850"/>
      <w:jc w:val="both"/>
    </w:pPr>
    <w:rPr>
      <w:rFonts w:ascii="宋体" w:hAnsi="宋体" w:eastAsia="宋体" w:cs="宋体"/>
      <w:sz w:val="21"/>
      <w:lang w:val="en-US" w:eastAsia="zh-CN" w:bidi="ar-SA"/>
    </w:rPr>
  </w:style>
  <w:style w:type="paragraph" w:customStyle="1" w:styleId="44">
    <w:name w:val="TOC 标题1"/>
    <w:next w:val="1"/>
    <w:qFormat/>
    <w:uiPriority w:val="0"/>
    <w:pPr>
      <w:wordWrap w:val="0"/>
    </w:pPr>
    <w:rPr>
      <w:rFonts w:ascii="宋体" w:hAnsi="宋体" w:eastAsia="宋体" w:cs="宋体"/>
      <w:sz w:val="32"/>
      <w:lang w:val="en-US" w:eastAsia="zh-CN" w:bidi="ar-SA"/>
    </w:rPr>
  </w:style>
  <w:style w:type="paragraph" w:customStyle="1" w:styleId="45">
    <w:name w:val="Char"/>
    <w:basedOn w:val="1"/>
    <w:next w:val="1"/>
    <w:qFormat/>
    <w:uiPriority w:val="0"/>
    <w:pPr>
      <w:spacing w:line="360" w:lineRule="auto"/>
    </w:pPr>
    <w:rPr>
      <w:rFonts w:ascii="Tahoma"/>
      <w:sz w:val="28"/>
    </w:rPr>
  </w:style>
  <w:style w:type="paragraph" w:customStyle="1" w:styleId="46">
    <w:name w:val="Char Char Char Char Char Char Char Char Char1 Char Char Char Char Char Char Char Char Char Char"/>
    <w:basedOn w:val="1"/>
    <w:semiHidden/>
    <w:qFormat/>
    <w:uiPriority w:val="0"/>
    <w:rPr>
      <w:rFonts w:ascii="宋体" w:cs="Courier New"/>
      <w:kern w:val="2"/>
      <w:sz w:val="32"/>
      <w:szCs w:val="32"/>
    </w:rPr>
  </w:style>
  <w:style w:type="character" w:customStyle="1" w:styleId="47">
    <w:name w:val="样式 zhang正文 + 宋体 小四 Char"/>
    <w:basedOn w:val="32"/>
    <w:link w:val="48"/>
    <w:qFormat/>
    <w:uiPriority w:val="0"/>
    <w:rPr>
      <w:kern w:val="2"/>
      <w:sz w:val="24"/>
      <w:szCs w:val="22"/>
    </w:rPr>
  </w:style>
  <w:style w:type="paragraph" w:customStyle="1" w:styleId="48">
    <w:name w:val="样式 zhang正文 + 宋体 小四"/>
    <w:basedOn w:val="1"/>
    <w:link w:val="47"/>
    <w:qFormat/>
    <w:uiPriority w:val="0"/>
    <w:pPr>
      <w:autoSpaceDE w:val="0"/>
      <w:autoSpaceDN w:val="0"/>
      <w:snapToGrid w:val="0"/>
      <w:spacing w:after="120" w:line="500" w:lineRule="exact"/>
      <w:ind w:left="420" w:leftChars="200" w:firstLine="539"/>
    </w:pPr>
    <w:rPr>
      <w:rFonts w:ascii="宋体"/>
      <w:kern w:val="2"/>
      <w:sz w:val="24"/>
      <w:szCs w:val="22"/>
    </w:rPr>
  </w:style>
  <w:style w:type="paragraph" w:customStyle="1" w:styleId="49">
    <w:name w:val="Char Char Char Char Char Char Char Char Char1 Char"/>
    <w:basedOn w:val="1"/>
    <w:semiHidden/>
    <w:qFormat/>
    <w:uiPriority w:val="0"/>
    <w:rPr>
      <w:rFonts w:ascii="宋体" w:cs="Courier New"/>
      <w:kern w:val="2"/>
      <w:sz w:val="32"/>
      <w:szCs w:val="32"/>
    </w:rPr>
  </w:style>
  <w:style w:type="paragraph" w:customStyle="1" w:styleId="50">
    <w:name w:val="Char Char Char Char Char Char Char Char Char1 Char1"/>
    <w:basedOn w:val="1"/>
    <w:semiHidden/>
    <w:qFormat/>
    <w:uiPriority w:val="0"/>
    <w:rPr>
      <w:rFonts w:ascii="宋体" w:cs="Courier New"/>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Company>
  <Pages>3</Pages>
  <Words>291</Words>
  <Characters>1664</Characters>
  <Lines>13</Lines>
  <Paragraphs>3</Paragraphs>
  <TotalTime>3</TotalTime>
  <ScaleCrop>false</ScaleCrop>
  <LinksUpToDate>false</LinksUpToDate>
  <CharactersWithSpaces>1952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2023-04-20T06:37:00Z</dcterms:created>
  <dc:creator>创建ISO14000环境管理体系领导小组办公室</dc:creator>
  <cp:lastModifiedBy>NTKO</cp:lastModifiedBy>
  <cp:lastPrinted>2025-03-27T06:12:00Z</cp:lastPrinted>
  <dcterms:modified xsi:type="dcterms:W3CDTF">2025-03-28T07:56:27Z</dcterms:modified>
  <dc:title>关于刻制“</dc:title>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